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FA" w:rsidRPr="002975FD" w:rsidRDefault="008369FA">
      <w:r w:rsidRPr="002975FD">
        <w:t>Name of Student</w:t>
      </w:r>
    </w:p>
    <w:p w:rsidR="008369FA" w:rsidRPr="002975FD" w:rsidRDefault="008369FA">
      <w:r w:rsidRPr="002975FD">
        <w:t>Name of Professor</w:t>
      </w:r>
    </w:p>
    <w:p w:rsidR="008369FA" w:rsidRPr="002975FD" w:rsidRDefault="008369FA">
      <w:r w:rsidRPr="002975FD">
        <w:t>Course</w:t>
      </w:r>
    </w:p>
    <w:p w:rsidR="008369FA" w:rsidRPr="002975FD" w:rsidRDefault="008369FA">
      <w:r w:rsidRPr="002975FD">
        <w:t>Date</w:t>
      </w:r>
    </w:p>
    <w:p w:rsidR="001A1573" w:rsidRPr="002975FD" w:rsidRDefault="00EC7A25" w:rsidP="008369FA">
      <w:pPr>
        <w:jc w:val="center"/>
      </w:pPr>
      <w:r w:rsidRPr="002975FD">
        <w:t>Civil rights movement in Virginia</w:t>
      </w:r>
    </w:p>
    <w:p w:rsidR="00C97028" w:rsidRDefault="00C97028" w:rsidP="00C97028">
      <w:pPr>
        <w:ind w:firstLine="720"/>
        <w:contextualSpacing/>
      </w:pPr>
      <w:r>
        <w:t xml:space="preserve">The majority of the minority groups in the USA have experienced varied forms of segregation. The whites felt that the blacks, whom they commonly referred to as the Negroes, did not deserve to enjoy similar treatment to the one accorded to the whites. Therefore, the whites ensured they did not share the same education facilities, restaurants, and even transport facilities with the blacks. To the whites, the blacks, Asians, and other minority groups did not deserve the privileges meant for the whites. The white race felt the minorities, and especially the blacks, were inferior and that they were to be treated as such. Richmond, Virginia is popular with segregation issues and civil rights movements that ultimately led to desegregation. This essay discusses the conditions and the principal factors and events that contributed to civil rights in Richmond and the destruction of segregation. </w:t>
      </w:r>
    </w:p>
    <w:p w:rsidR="00C97028" w:rsidRDefault="00C97028" w:rsidP="00C97028">
      <w:pPr>
        <w:ind w:firstLine="720"/>
        <w:contextualSpacing/>
      </w:pPr>
      <w:r>
        <w:t xml:space="preserve">During the segregation period in the 1950s, blacks, among the minority groups, were the most segregated (Lassiter, and Lewis 50). The blacks, commonly referred to as the Negroes, had been deemed ‘useful’ during the slave trade as sources of labor. Even after the slave trade abolition, the majority of the black community in Richmond continued to live desolate lives compared to the whites.  It appeared that the majority of the black community lived in areas without electricity, lacked inside toilets, lacked gas, and resided in unpaved streets (Guild).  Furthermore, rules forbade blacks against traversing ‘white peoples’ parks to get across another </w:t>
      </w:r>
      <w:r>
        <w:lastRenderedPageBreak/>
        <w:t>side, even if the park was between two blacks’ blocks. As long as the park was declared for use by the whites, it did not matter whether it was in the community of the black people. The blacks were highly forbidden against using it (Guild).</w:t>
      </w:r>
    </w:p>
    <w:p w:rsidR="00C97028" w:rsidRDefault="00C97028" w:rsidP="00C97028">
      <w:pPr>
        <w:ind w:firstLine="720"/>
        <w:contextualSpacing/>
      </w:pPr>
      <w:r>
        <w:t xml:space="preserve"> Moreover, there were specific waiting rooms that were used by the whites at bus stations, as well as, separate restaurants and schools as outlined in the Jim Crow regulations (Virginia Museum of History &amp; Culture (a)). These stipulations meant that socially, the whites assumed superiority over the blacks and additional minority groupings. People who acted contrary to these stipulations risked jail, and it was, thus, significant for the black community to abide by these stipulations. </w:t>
      </w:r>
    </w:p>
    <w:p w:rsidR="00C97028" w:rsidRDefault="00C97028" w:rsidP="00C97028">
      <w:pPr>
        <w:ind w:firstLine="720"/>
        <w:contextualSpacing/>
      </w:pPr>
      <w:r>
        <w:t xml:space="preserve">Whereas segregation against the blacks by the white community went on in Virginia, there was a group that felt the need for desegregation. However, the motivating factor toward this group’s heightened activities is the Brown v. Board case (Shaw 474). This case became famous because the ruling declared that it was unconstitutional to segregate children racially in public schools (Powell and Criner). Since this judgment had the constitutional binding, it provided hope to those with ideas about the need for desegregation. </w:t>
      </w:r>
    </w:p>
    <w:p w:rsidR="00C97028" w:rsidRDefault="00C97028" w:rsidP="00C97028">
      <w:pPr>
        <w:ind w:firstLine="720"/>
        <w:contextualSpacing/>
      </w:pPr>
      <w:r>
        <w:t xml:space="preserve">Once the judges asserted of the unconstitutionality of the segregation of children in public schools, they gave the proponents of desegregation hope to fight for the rights of the oppressed. The Brown v. Board case was also unique because it appeared as a rejoinder to the Plessy v. Ferguson case of 1896, that declared as legal, racially segregated public institutions, as long as, the institutions for whites and blacks remained equal (National Constitution Center). The Plessy v. Ferguson ruling meant that it was constitutional to bar African Americans from using and sharing the same schools, buses, and other public amenities, in what came to be referred to as the “Jim Crow laws” (National Constitution Center). Therefore, this ruling meant that the </w:t>
      </w:r>
      <w:r>
        <w:lastRenderedPageBreak/>
        <w:t xml:space="preserve">African American community could be segregated, constitutionally, as long as, their facilities were equal. The black community, therefore, could not legally oppose the segregation because it had been deemed constitutional by the Supreme Court’s ruling on 1896 involving Plessy v. Ferguson (National Constitution Center). </w:t>
      </w:r>
    </w:p>
    <w:p w:rsidR="00C97028" w:rsidRDefault="00C97028" w:rsidP="00C97028">
      <w:pPr>
        <w:ind w:firstLine="720"/>
        <w:contextualSpacing/>
      </w:pPr>
      <w:r>
        <w:t xml:space="preserve">However, the Brown v. Board ruling eliminated the segregation that existed in the ‘separate but equal’ concept, which indicated that separate races could utilize resources separately. The blacks and whites could use different schools and resources, each for its race, but still considered equal, although later decrees claimed that there was no equity as long as separation existed (Weyeneth 15). However, the Brown v. Board ruling meant that the segregation between the blacks and whites in schools violated the 14th amendment (National Archives). The 14th Amendment declares that nations should not refuse equal protection of the edicts to any individual within its control (National Archives). Therefore, if the constitution does not allow people to be denied equal opportunities, then the concept of separate but equal is illegitimate by law. Hence, organizations advocating civil rights received hope from the ruling concerning Brown v. Board, and they got motivated to promote the rights of all. Therefore, although the decision did not lead to desegregation instantly, it ignited the burgeoning movements fighting for human rights in the US. </w:t>
      </w:r>
    </w:p>
    <w:p w:rsidR="00C97028" w:rsidRDefault="00C97028" w:rsidP="00C97028">
      <w:pPr>
        <w:ind w:firstLine="720"/>
        <w:contextualSpacing/>
      </w:pPr>
      <w:r>
        <w:t xml:space="preserve">In Virginia, the court decision in Brown v. Board led black students to attend New Kent High School, which was mostly white (Virginia Museum of History &amp; Culture (b)). Previously, black students lacked the courage to attend an all-white school. However, after the court ruling, 115 black students gained the courage to attend the predominantly white school in 1968 (Virginia Museum of History &amp; Culture (b)). However, the number of white students attending mainly black schools was minimal. The observation that only black students appeared to move to </w:t>
      </w:r>
      <w:r>
        <w:lastRenderedPageBreak/>
        <w:t xml:space="preserve">predominantly white schools, Calvin Green’s lawsuit to challenge the desegregation process led to another critical court ruling. Using the Green v. School Board of New Kent County, the court decreed that schools had the responsibility of maintaining racial balance (Shaw 475). </w:t>
      </w:r>
    </w:p>
    <w:p w:rsidR="00C97028" w:rsidRDefault="00C97028" w:rsidP="00C97028">
      <w:pPr>
        <w:ind w:firstLine="720"/>
        <w:contextualSpacing/>
      </w:pPr>
      <w:r>
        <w:t xml:space="preserve">To determine that schools maintained racial balance, the court provided the appropriate ratio of white to black students. Additionally, the ratio could also be provided to assess the racial balance in faculties and absolute equality in transportation, facilities, and extracurricular activities.  This ratio proved fruitful because the black population percentage shifted from 32 percent to 79 percent between 1968-69 and 1970-71 respectively (Virginia Museum of History &amp; Culture (b)).  However, maintenance of the intended racial balance in white schools could not be achieved due to the white parents’ decision to move their children to private academies in suburbs. This move also contributed to the rise in activism in civil right matters as they accused the white families for acting in contravention of the stipulated regulations pertaining to racial balance ratios. </w:t>
      </w:r>
    </w:p>
    <w:p w:rsidR="00C97028" w:rsidRDefault="00C97028" w:rsidP="00C97028">
      <w:pPr>
        <w:ind w:firstLine="720"/>
        <w:contextualSpacing/>
      </w:pPr>
      <w:r>
        <w:t xml:space="preserve">Richmond’s massive black population also contributed to the growth in civil rights movements. Although there was a significant percentage of the black community working for minimal wages as laborers, there was a substantial population of middle-class blacks that constituted of lawyers, physicians, ministers, and teachers (Virginia Museum of History &amp; Culture (a)). This new cluster of blacks could afford to pay for lawsuits, and it engaged the government through sponsorship of trials to challenge segregation. The constant pressure piled on the government concerning segregation and also assisted in supporting those individuals and groups among the black community, who had filed lawsuits concerning exclusion related cases. </w:t>
      </w:r>
    </w:p>
    <w:p w:rsidR="00C97028" w:rsidRDefault="00C97028" w:rsidP="00C97028">
      <w:pPr>
        <w:ind w:firstLine="720"/>
        <w:contextualSpacing/>
      </w:pPr>
      <w:r>
        <w:t xml:space="preserve">As incidents of segregation continued to rise in the South, Virginia played a significant role in the fight against discrimination. For example, the National Association for the </w:t>
      </w:r>
      <w:r>
        <w:lastRenderedPageBreak/>
        <w:t xml:space="preserve">Advancement of Colored People (NAACP), in Virginia filed massive lawsuits compared to other states in the US (Virginia Museum of History &amp; Culture (c)). The movements that fought for civil rights felt the need to challenge the Jim Crow regulations that appeared to make the black community second class citizens. The 1963 ruling of Johnson v. Virginia case that overturned the illegitimacy of interracial marriage also provided the civil rights group with more reasons to pressurize the government to thwart segregation (Virginia Museum of History &amp; Culture (c)). Before this ruling in 1963, the ban on interracial marriages had been in effect in the USA, and it limited the blacks’ chances of engaging in interracial marriages. The overturning of this ban in 17 states by the Johnson v. Virginia case provided hope that the black community had equal rights to life as other races. The hope drove the zeal of civil rights movements to acquire equal opportunities for all in Virginia regardless of race. Ultimately, the gains of the movements were visible in various aspects of the black community’s social lives as the region attained desegregation. </w:t>
      </w:r>
    </w:p>
    <w:p w:rsidR="00FA109C" w:rsidRDefault="00FA109C" w:rsidP="00851508">
      <w:pPr>
        <w:ind w:firstLine="720"/>
        <w:contextualSpacing/>
      </w:pPr>
    </w:p>
    <w:p w:rsidR="00FA109C" w:rsidRDefault="00FA109C" w:rsidP="00851508">
      <w:pPr>
        <w:ind w:firstLine="720"/>
        <w:contextualSpacing/>
      </w:pPr>
    </w:p>
    <w:p w:rsidR="00FA109C" w:rsidRDefault="00FA109C" w:rsidP="00851508">
      <w:pPr>
        <w:ind w:firstLine="720"/>
        <w:contextualSpacing/>
      </w:pPr>
    </w:p>
    <w:p w:rsidR="00FA109C" w:rsidRDefault="00FA109C" w:rsidP="00851508">
      <w:pPr>
        <w:ind w:firstLine="720"/>
        <w:contextualSpacing/>
      </w:pPr>
    </w:p>
    <w:p w:rsidR="000E4F3F" w:rsidRPr="002975FD" w:rsidRDefault="000E4F3F" w:rsidP="00851508">
      <w:pPr>
        <w:ind w:firstLine="720"/>
        <w:contextualSpacing/>
      </w:pPr>
    </w:p>
    <w:p w:rsidR="000E4F3F" w:rsidRPr="002975FD" w:rsidRDefault="000E4F3F" w:rsidP="00851508">
      <w:pPr>
        <w:ind w:firstLine="720"/>
        <w:contextualSpacing/>
      </w:pPr>
    </w:p>
    <w:p w:rsidR="000E4F3F" w:rsidRPr="002975FD" w:rsidRDefault="000E4F3F" w:rsidP="00851508">
      <w:pPr>
        <w:ind w:firstLine="720"/>
        <w:contextualSpacing/>
      </w:pPr>
    </w:p>
    <w:p w:rsidR="000E4F3F" w:rsidRPr="002975FD" w:rsidRDefault="000E4F3F" w:rsidP="00851508">
      <w:pPr>
        <w:ind w:firstLine="720"/>
        <w:contextualSpacing/>
      </w:pPr>
    </w:p>
    <w:p w:rsidR="000E4F3F" w:rsidRPr="002975FD" w:rsidRDefault="000E4F3F" w:rsidP="00851508">
      <w:pPr>
        <w:ind w:firstLine="720"/>
        <w:contextualSpacing/>
      </w:pPr>
    </w:p>
    <w:p w:rsidR="000E4F3F" w:rsidRPr="002975FD" w:rsidRDefault="000E4F3F" w:rsidP="00C97028">
      <w:pPr>
        <w:contextualSpacing/>
      </w:pPr>
    </w:p>
    <w:p w:rsidR="000E4F3F" w:rsidRPr="002975FD" w:rsidRDefault="000E4F3F" w:rsidP="00851508">
      <w:pPr>
        <w:ind w:firstLine="720"/>
        <w:contextualSpacing/>
      </w:pPr>
    </w:p>
    <w:p w:rsidR="00CE73A0" w:rsidRPr="002975FD" w:rsidRDefault="000E4F3F" w:rsidP="00CE73A0">
      <w:pPr>
        <w:ind w:firstLine="720"/>
        <w:contextualSpacing/>
        <w:jc w:val="center"/>
      </w:pPr>
      <w:r w:rsidRPr="002975FD">
        <w:t>Works Cited</w:t>
      </w:r>
    </w:p>
    <w:p w:rsidR="00CE73A0" w:rsidRPr="002975FD" w:rsidRDefault="00CE73A0" w:rsidP="004866B3">
      <w:pPr>
        <w:ind w:left="720" w:hanging="720"/>
        <w:contextualSpacing/>
      </w:pPr>
      <w:r w:rsidRPr="002975FD">
        <w:t xml:space="preserve">Guild June P. </w:t>
      </w:r>
      <w:r w:rsidRPr="002975FD">
        <w:rPr>
          <w:i/>
        </w:rPr>
        <w:t>Black Richmond, VA (1934)</w:t>
      </w:r>
      <w:r w:rsidRPr="002975FD">
        <w:t xml:space="preserve">. Virginia Commonwealth University, Sep. 28, 2017, </w:t>
      </w:r>
      <w:hyperlink r:id="rId6" w:history="1">
        <w:r w:rsidRPr="002975FD">
          <w:rPr>
            <w:rStyle w:val="Hyperlink"/>
            <w:color w:val="auto"/>
          </w:rPr>
          <w:t>https://socialwelfare.library.vcu.edu/eras/great-depression/black-richmond-1934/</w:t>
        </w:r>
      </w:hyperlink>
      <w:r w:rsidRPr="002975FD">
        <w:t>. Accessed 09 April 2018.</w:t>
      </w:r>
    </w:p>
    <w:p w:rsidR="00CE73A0" w:rsidRPr="002975FD" w:rsidRDefault="00CE73A0" w:rsidP="004866B3">
      <w:pPr>
        <w:ind w:left="720" w:hanging="720"/>
        <w:contextualSpacing/>
      </w:pPr>
      <w:r w:rsidRPr="002975FD">
        <w:t xml:space="preserve">Lassiter, Mathew D., and Andrew Lewis. </w:t>
      </w:r>
      <w:r w:rsidRPr="002975FD">
        <w:rPr>
          <w:i/>
        </w:rPr>
        <w:t>The Moderates' Dilemma: Massive Resistance to School Desegregation in Virginia</w:t>
      </w:r>
      <w:r w:rsidRPr="002975FD">
        <w:t>. Charlottesville, University of Virginia Press, 1998.</w:t>
      </w:r>
    </w:p>
    <w:p w:rsidR="00CE73A0" w:rsidRPr="002975FD" w:rsidRDefault="00CE73A0" w:rsidP="004866B3">
      <w:pPr>
        <w:ind w:left="720" w:hanging="720"/>
        <w:contextualSpacing/>
      </w:pPr>
      <w:r w:rsidRPr="002975FD">
        <w:t xml:space="preserve">National Archives. </w:t>
      </w:r>
      <w:r w:rsidRPr="002975FD">
        <w:rPr>
          <w:i/>
        </w:rPr>
        <w:t>Documents Related to Brown v. Board of Education</w:t>
      </w:r>
      <w:r w:rsidRPr="002975FD">
        <w:t xml:space="preserve">. Author, 2016, </w:t>
      </w:r>
      <w:hyperlink r:id="rId7" w:history="1">
        <w:r w:rsidRPr="002975FD">
          <w:rPr>
            <w:rStyle w:val="Hyperlink"/>
            <w:color w:val="auto"/>
          </w:rPr>
          <w:t>https://www.archives.gov/education/lessons/brown-v-board. Accessed 09 April 2018</w:t>
        </w:r>
      </w:hyperlink>
      <w:r w:rsidRPr="002975FD">
        <w:t>.</w:t>
      </w:r>
    </w:p>
    <w:p w:rsidR="00CE73A0" w:rsidRPr="002975FD" w:rsidRDefault="00CE73A0" w:rsidP="004866B3">
      <w:pPr>
        <w:ind w:left="720" w:hanging="720"/>
        <w:contextualSpacing/>
      </w:pPr>
      <w:r w:rsidRPr="002975FD">
        <w:t xml:space="preserve">National Constitution Center. </w:t>
      </w:r>
      <w:r w:rsidRPr="002975FD">
        <w:rPr>
          <w:i/>
        </w:rPr>
        <w:t>Brown v. Board: When the Supreme Court ruled against segregation</w:t>
      </w:r>
      <w:r w:rsidRPr="002975FD">
        <w:t xml:space="preserve">. National Constitution Center, 2018, </w:t>
      </w:r>
      <w:hyperlink r:id="rId8" w:history="1">
        <w:r w:rsidRPr="002975FD">
          <w:rPr>
            <w:rStyle w:val="Hyperlink"/>
            <w:color w:val="auto"/>
          </w:rPr>
          <w:t>https://constitutioncenter.org/blog/on-this-day-the-supreme-court-rules-against-segregation. Accessed 09 April 2018</w:t>
        </w:r>
      </w:hyperlink>
      <w:r w:rsidRPr="002975FD">
        <w:t>.</w:t>
      </w:r>
    </w:p>
    <w:p w:rsidR="00CE73A0" w:rsidRPr="002975FD" w:rsidRDefault="00CE73A0" w:rsidP="004866B3">
      <w:pPr>
        <w:ind w:left="720" w:hanging="720"/>
        <w:contextualSpacing/>
      </w:pPr>
      <w:r w:rsidRPr="002975FD">
        <w:t xml:space="preserve">Powell, William S., and Allyson Criner. </w:t>
      </w:r>
      <w:r w:rsidRPr="002975FD">
        <w:rPr>
          <w:i/>
        </w:rPr>
        <w:t>Civil Rights Movement</w:t>
      </w:r>
      <w:r w:rsidRPr="002975FD">
        <w:t xml:space="preserve">. NCPedia, 2006, </w:t>
      </w:r>
      <w:hyperlink r:id="rId9" w:history="1">
        <w:r w:rsidRPr="002975FD">
          <w:rPr>
            <w:rStyle w:val="Hyperlink"/>
            <w:color w:val="auto"/>
          </w:rPr>
          <w:t>https://www.ncpedia.org/civil-rights-movement/brown-v-board-of-education</w:t>
        </w:r>
      </w:hyperlink>
      <w:r w:rsidRPr="002975FD">
        <w:t>, Accessed 09 April 2018.</w:t>
      </w:r>
    </w:p>
    <w:p w:rsidR="00CE73A0" w:rsidRPr="002975FD" w:rsidRDefault="00CE73A0" w:rsidP="004866B3">
      <w:pPr>
        <w:ind w:left="720" w:hanging="720"/>
        <w:contextualSpacing/>
      </w:pPr>
      <w:r w:rsidRPr="002975FD">
        <w:t xml:space="preserve">Shaw, Theodore M. “Dividing history: </w:t>
      </w:r>
      <w:r w:rsidRPr="002975FD">
        <w:rPr>
          <w:i/>
        </w:rPr>
        <w:t>Brown</w:t>
      </w:r>
      <w:r w:rsidRPr="002975FD">
        <w:t xml:space="preserve"> as catalyst for civil rights in America.” </w:t>
      </w:r>
      <w:r w:rsidRPr="002975FD">
        <w:rPr>
          <w:i/>
        </w:rPr>
        <w:t>Stetson Law Review</w:t>
      </w:r>
      <w:r w:rsidRPr="002975FD">
        <w:t>, vol. 34, 2005, pp. 473-486.</w:t>
      </w:r>
    </w:p>
    <w:p w:rsidR="00CE73A0" w:rsidRPr="002975FD" w:rsidRDefault="00CE73A0" w:rsidP="004866B3">
      <w:pPr>
        <w:ind w:left="720" w:hanging="720"/>
        <w:contextualSpacing/>
      </w:pPr>
      <w:r w:rsidRPr="002975FD">
        <w:t xml:space="preserve">Virginia Museum of History &amp; Culture (a). </w:t>
      </w:r>
      <w:r w:rsidRPr="002975FD">
        <w:rPr>
          <w:i/>
        </w:rPr>
        <w:t>Jim Crow to civil rights in Virginia</w:t>
      </w:r>
      <w:r w:rsidRPr="002975FD">
        <w:t xml:space="preserve">. Virginia Museum of History &amp; Culture, n.d., </w:t>
      </w:r>
      <w:hyperlink r:id="rId10" w:history="1">
        <w:r w:rsidRPr="002975FD">
          <w:rPr>
            <w:rStyle w:val="Hyperlink"/>
            <w:color w:val="auto"/>
          </w:rPr>
          <w:t>https://www.virginiahistory.org/collections-and-resources/virginia-history-explorer/jim-crow-civil-rights-virginia. Accessed 09 April 2018</w:t>
        </w:r>
      </w:hyperlink>
      <w:r w:rsidRPr="002975FD">
        <w:t>.</w:t>
      </w:r>
    </w:p>
    <w:p w:rsidR="00CE73A0" w:rsidRPr="002975FD" w:rsidRDefault="00CE73A0" w:rsidP="004866B3">
      <w:pPr>
        <w:ind w:left="720" w:hanging="720"/>
        <w:contextualSpacing/>
      </w:pPr>
      <w:r w:rsidRPr="002975FD">
        <w:lastRenderedPageBreak/>
        <w:t xml:space="preserve">Virginia Museum of History &amp; Culture (b). </w:t>
      </w:r>
      <w:r w:rsidRPr="002975FD">
        <w:rPr>
          <w:i/>
        </w:rPr>
        <w:t>The Green decision of 1968</w:t>
      </w:r>
      <w:r w:rsidRPr="002975FD">
        <w:t xml:space="preserve">. Author, n.d., </w:t>
      </w:r>
      <w:hyperlink r:id="rId11" w:history="1">
        <w:r w:rsidRPr="002975FD">
          <w:rPr>
            <w:rStyle w:val="Hyperlink"/>
            <w:color w:val="auto"/>
          </w:rPr>
          <w:t>https://www.virginiahistory.org/collections-and-resources/virginia-history-explorer/civil-rights-movement-virginia/green-decision</w:t>
        </w:r>
      </w:hyperlink>
      <w:r w:rsidRPr="002975FD">
        <w:t>. Accessed 09 April 2018.</w:t>
      </w:r>
    </w:p>
    <w:p w:rsidR="00CE73A0" w:rsidRPr="002975FD" w:rsidRDefault="00CE73A0" w:rsidP="004866B3">
      <w:pPr>
        <w:ind w:left="720" w:hanging="720"/>
        <w:contextualSpacing/>
      </w:pPr>
      <w:r w:rsidRPr="002975FD">
        <w:t xml:space="preserve">Virginia Museum of History &amp; Culture (c). </w:t>
      </w:r>
      <w:r w:rsidRPr="002975FD">
        <w:rPr>
          <w:i/>
        </w:rPr>
        <w:t>Civil rights movement in Virginia</w:t>
      </w:r>
      <w:r w:rsidRPr="002975FD">
        <w:t xml:space="preserve">. Author, n.d., </w:t>
      </w:r>
      <w:hyperlink r:id="rId12" w:history="1">
        <w:r w:rsidRPr="002975FD">
          <w:rPr>
            <w:rStyle w:val="Hyperlink"/>
            <w:color w:val="auto"/>
          </w:rPr>
          <w:t>https://www.virginiahistory.org/collections-and-resources/virginia-history-explorer/civil-rights-movement-virginia</w:t>
        </w:r>
      </w:hyperlink>
      <w:r w:rsidRPr="002975FD">
        <w:t>, Accessed 09 April 2018.</w:t>
      </w:r>
    </w:p>
    <w:p w:rsidR="00CE73A0" w:rsidRPr="002975FD" w:rsidRDefault="00CE73A0" w:rsidP="004866B3">
      <w:pPr>
        <w:ind w:left="720" w:hanging="720"/>
        <w:contextualSpacing/>
      </w:pPr>
      <w:r w:rsidRPr="002975FD">
        <w:t xml:space="preserve">Weyeneth, Robert R. “The architecture of racial segregation: The challenges of preserving the problematic past.” </w:t>
      </w:r>
      <w:r w:rsidRPr="002975FD">
        <w:rPr>
          <w:i/>
        </w:rPr>
        <w:t>The Public Historian</w:t>
      </w:r>
      <w:r w:rsidRPr="002975FD">
        <w:t>, vol. 27, no. 4, 2005, pp. 11-44.</w:t>
      </w:r>
    </w:p>
    <w:sectPr w:rsidR="00CE73A0" w:rsidRPr="002975FD" w:rsidSect="001A1573">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F40" w:rsidRDefault="00865F40" w:rsidP="00462613">
      <w:pPr>
        <w:spacing w:after="0" w:line="240" w:lineRule="auto"/>
      </w:pPr>
      <w:r>
        <w:separator/>
      </w:r>
    </w:p>
  </w:endnote>
  <w:endnote w:type="continuationSeparator" w:id="1">
    <w:p w:rsidR="00865F40" w:rsidRDefault="00865F40" w:rsidP="00462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F40" w:rsidRDefault="00865F40" w:rsidP="00462613">
      <w:pPr>
        <w:spacing w:after="0" w:line="240" w:lineRule="auto"/>
      </w:pPr>
      <w:r>
        <w:separator/>
      </w:r>
    </w:p>
  </w:footnote>
  <w:footnote w:type="continuationSeparator" w:id="1">
    <w:p w:rsidR="00865F40" w:rsidRDefault="00865F40" w:rsidP="004626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217856"/>
      <w:docPartObj>
        <w:docPartGallery w:val="Page Numbers (Top of Page)"/>
        <w:docPartUnique/>
      </w:docPartObj>
    </w:sdtPr>
    <w:sdtContent>
      <w:p w:rsidR="00462613" w:rsidRDefault="00462613" w:rsidP="00462613">
        <w:pPr>
          <w:pStyle w:val="Header"/>
          <w:jc w:val="center"/>
        </w:pPr>
        <w:r>
          <w:t xml:space="preserve">                                                                                                 Surname       </w:t>
        </w:r>
        <w:fldSimple w:instr=" PAGE   \* MERGEFORMAT ">
          <w:r w:rsidR="00C97028">
            <w:rPr>
              <w:noProof/>
            </w:rPr>
            <w:t>5</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7A25"/>
    <w:rsid w:val="0000293D"/>
    <w:rsid w:val="00007F0A"/>
    <w:rsid w:val="000120AA"/>
    <w:rsid w:val="00032DC5"/>
    <w:rsid w:val="00040E50"/>
    <w:rsid w:val="0004625E"/>
    <w:rsid w:val="00061202"/>
    <w:rsid w:val="0007269A"/>
    <w:rsid w:val="0007446B"/>
    <w:rsid w:val="000815E8"/>
    <w:rsid w:val="0008677A"/>
    <w:rsid w:val="000926C8"/>
    <w:rsid w:val="000C2C20"/>
    <w:rsid w:val="000C6FB2"/>
    <w:rsid w:val="000D637E"/>
    <w:rsid w:val="000D6A34"/>
    <w:rsid w:val="000E4F3F"/>
    <w:rsid w:val="000E5BD8"/>
    <w:rsid w:val="000E72FE"/>
    <w:rsid w:val="00102F30"/>
    <w:rsid w:val="00117E36"/>
    <w:rsid w:val="00125CFD"/>
    <w:rsid w:val="0013657F"/>
    <w:rsid w:val="00152473"/>
    <w:rsid w:val="00160111"/>
    <w:rsid w:val="00162041"/>
    <w:rsid w:val="00164768"/>
    <w:rsid w:val="0017736B"/>
    <w:rsid w:val="00196ADC"/>
    <w:rsid w:val="001A1573"/>
    <w:rsid w:val="001B107B"/>
    <w:rsid w:val="001B1E01"/>
    <w:rsid w:val="001D23F1"/>
    <w:rsid w:val="001E74CE"/>
    <w:rsid w:val="001F393D"/>
    <w:rsid w:val="00217D18"/>
    <w:rsid w:val="00227971"/>
    <w:rsid w:val="00234A10"/>
    <w:rsid w:val="00271ED6"/>
    <w:rsid w:val="00277444"/>
    <w:rsid w:val="00281741"/>
    <w:rsid w:val="002975FD"/>
    <w:rsid w:val="002A21DA"/>
    <w:rsid w:val="002B6B08"/>
    <w:rsid w:val="002D6FE4"/>
    <w:rsid w:val="002F59BD"/>
    <w:rsid w:val="00302CFD"/>
    <w:rsid w:val="003154B2"/>
    <w:rsid w:val="00322828"/>
    <w:rsid w:val="003264FB"/>
    <w:rsid w:val="003332D7"/>
    <w:rsid w:val="003352C4"/>
    <w:rsid w:val="00335B2A"/>
    <w:rsid w:val="00343806"/>
    <w:rsid w:val="003639C9"/>
    <w:rsid w:val="00372BC9"/>
    <w:rsid w:val="003730EF"/>
    <w:rsid w:val="003768A6"/>
    <w:rsid w:val="003B77DB"/>
    <w:rsid w:val="003D16B9"/>
    <w:rsid w:val="003E22DA"/>
    <w:rsid w:val="003F2265"/>
    <w:rsid w:val="00411CA1"/>
    <w:rsid w:val="00417B67"/>
    <w:rsid w:val="00426F93"/>
    <w:rsid w:val="00436F66"/>
    <w:rsid w:val="00450295"/>
    <w:rsid w:val="00461268"/>
    <w:rsid w:val="00462613"/>
    <w:rsid w:val="00470413"/>
    <w:rsid w:val="004778BB"/>
    <w:rsid w:val="004866B3"/>
    <w:rsid w:val="00490AA4"/>
    <w:rsid w:val="00497C55"/>
    <w:rsid w:val="004A11FC"/>
    <w:rsid w:val="004C2EC9"/>
    <w:rsid w:val="004D4916"/>
    <w:rsid w:val="004D5CF9"/>
    <w:rsid w:val="004D77C7"/>
    <w:rsid w:val="004E4BDF"/>
    <w:rsid w:val="004F2914"/>
    <w:rsid w:val="00521FBF"/>
    <w:rsid w:val="005278BB"/>
    <w:rsid w:val="00536D1D"/>
    <w:rsid w:val="00553358"/>
    <w:rsid w:val="00572B90"/>
    <w:rsid w:val="00573DAB"/>
    <w:rsid w:val="005832DF"/>
    <w:rsid w:val="0058358D"/>
    <w:rsid w:val="005A018C"/>
    <w:rsid w:val="005A262F"/>
    <w:rsid w:val="005A55E6"/>
    <w:rsid w:val="005A7554"/>
    <w:rsid w:val="005C5F3C"/>
    <w:rsid w:val="005D1C37"/>
    <w:rsid w:val="005D7840"/>
    <w:rsid w:val="005E16FE"/>
    <w:rsid w:val="005F5D9B"/>
    <w:rsid w:val="005F73CE"/>
    <w:rsid w:val="0060666F"/>
    <w:rsid w:val="00612829"/>
    <w:rsid w:val="00623BDE"/>
    <w:rsid w:val="00641AF3"/>
    <w:rsid w:val="00646C54"/>
    <w:rsid w:val="00655D51"/>
    <w:rsid w:val="00657181"/>
    <w:rsid w:val="00661B50"/>
    <w:rsid w:val="00671123"/>
    <w:rsid w:val="006722AD"/>
    <w:rsid w:val="0067301D"/>
    <w:rsid w:val="006A2E76"/>
    <w:rsid w:val="006D3D52"/>
    <w:rsid w:val="006E4675"/>
    <w:rsid w:val="006F0102"/>
    <w:rsid w:val="00706429"/>
    <w:rsid w:val="00711EFB"/>
    <w:rsid w:val="00760B2B"/>
    <w:rsid w:val="00763D5C"/>
    <w:rsid w:val="007670B6"/>
    <w:rsid w:val="00773178"/>
    <w:rsid w:val="00774704"/>
    <w:rsid w:val="007814EB"/>
    <w:rsid w:val="007B6652"/>
    <w:rsid w:val="007B7EF5"/>
    <w:rsid w:val="007E295A"/>
    <w:rsid w:val="007F063E"/>
    <w:rsid w:val="008063FD"/>
    <w:rsid w:val="00806AF8"/>
    <w:rsid w:val="008353AB"/>
    <w:rsid w:val="00836365"/>
    <w:rsid w:val="008369FA"/>
    <w:rsid w:val="008421B2"/>
    <w:rsid w:val="00843CCE"/>
    <w:rsid w:val="00851508"/>
    <w:rsid w:val="00865F40"/>
    <w:rsid w:val="00875EEB"/>
    <w:rsid w:val="00876266"/>
    <w:rsid w:val="00891E09"/>
    <w:rsid w:val="008927F6"/>
    <w:rsid w:val="008A73B8"/>
    <w:rsid w:val="008C5A00"/>
    <w:rsid w:val="008D58A1"/>
    <w:rsid w:val="008E1BDE"/>
    <w:rsid w:val="008E372E"/>
    <w:rsid w:val="008F7F65"/>
    <w:rsid w:val="00956A5B"/>
    <w:rsid w:val="00975B52"/>
    <w:rsid w:val="009774F3"/>
    <w:rsid w:val="009E3965"/>
    <w:rsid w:val="009F60BD"/>
    <w:rsid w:val="00A1003C"/>
    <w:rsid w:val="00A146FF"/>
    <w:rsid w:val="00A22648"/>
    <w:rsid w:val="00A2734F"/>
    <w:rsid w:val="00A56DF4"/>
    <w:rsid w:val="00A6043F"/>
    <w:rsid w:val="00A639C7"/>
    <w:rsid w:val="00A746B2"/>
    <w:rsid w:val="00A829D9"/>
    <w:rsid w:val="00A9140A"/>
    <w:rsid w:val="00A937A6"/>
    <w:rsid w:val="00AB2DB9"/>
    <w:rsid w:val="00AB3AD8"/>
    <w:rsid w:val="00AB7BE4"/>
    <w:rsid w:val="00AD536F"/>
    <w:rsid w:val="00B0429D"/>
    <w:rsid w:val="00B16CB6"/>
    <w:rsid w:val="00B230CC"/>
    <w:rsid w:val="00B32BD2"/>
    <w:rsid w:val="00B5770D"/>
    <w:rsid w:val="00B64E7D"/>
    <w:rsid w:val="00B6602B"/>
    <w:rsid w:val="00B75988"/>
    <w:rsid w:val="00B76904"/>
    <w:rsid w:val="00B96CBB"/>
    <w:rsid w:val="00BA44DE"/>
    <w:rsid w:val="00BB5AF6"/>
    <w:rsid w:val="00BD2C9A"/>
    <w:rsid w:val="00BD7DDC"/>
    <w:rsid w:val="00BF469E"/>
    <w:rsid w:val="00C002F1"/>
    <w:rsid w:val="00C10B46"/>
    <w:rsid w:val="00C11136"/>
    <w:rsid w:val="00C13F2A"/>
    <w:rsid w:val="00C30466"/>
    <w:rsid w:val="00C359DD"/>
    <w:rsid w:val="00C366C7"/>
    <w:rsid w:val="00C50403"/>
    <w:rsid w:val="00C5775B"/>
    <w:rsid w:val="00C6224E"/>
    <w:rsid w:val="00C64D07"/>
    <w:rsid w:val="00C67D22"/>
    <w:rsid w:val="00C72EC8"/>
    <w:rsid w:val="00C750A7"/>
    <w:rsid w:val="00C7629A"/>
    <w:rsid w:val="00C85BE3"/>
    <w:rsid w:val="00C878ED"/>
    <w:rsid w:val="00C91681"/>
    <w:rsid w:val="00C97028"/>
    <w:rsid w:val="00CA2330"/>
    <w:rsid w:val="00CA3210"/>
    <w:rsid w:val="00CA4A8A"/>
    <w:rsid w:val="00CA5C94"/>
    <w:rsid w:val="00CA678A"/>
    <w:rsid w:val="00CD77DB"/>
    <w:rsid w:val="00CE73A0"/>
    <w:rsid w:val="00CF22CB"/>
    <w:rsid w:val="00D01199"/>
    <w:rsid w:val="00D0239A"/>
    <w:rsid w:val="00D030DC"/>
    <w:rsid w:val="00D0792B"/>
    <w:rsid w:val="00D123B5"/>
    <w:rsid w:val="00D12597"/>
    <w:rsid w:val="00D14939"/>
    <w:rsid w:val="00D1666E"/>
    <w:rsid w:val="00D31163"/>
    <w:rsid w:val="00D45D03"/>
    <w:rsid w:val="00D56F29"/>
    <w:rsid w:val="00D6108B"/>
    <w:rsid w:val="00D62B11"/>
    <w:rsid w:val="00D6514C"/>
    <w:rsid w:val="00D73C24"/>
    <w:rsid w:val="00D82378"/>
    <w:rsid w:val="00D90AB4"/>
    <w:rsid w:val="00DA5676"/>
    <w:rsid w:val="00DA5753"/>
    <w:rsid w:val="00DD2D2A"/>
    <w:rsid w:val="00DE4C65"/>
    <w:rsid w:val="00E018F3"/>
    <w:rsid w:val="00E02644"/>
    <w:rsid w:val="00E041FE"/>
    <w:rsid w:val="00E06F6A"/>
    <w:rsid w:val="00E3155B"/>
    <w:rsid w:val="00E3247E"/>
    <w:rsid w:val="00E32CE7"/>
    <w:rsid w:val="00E36277"/>
    <w:rsid w:val="00E44B3D"/>
    <w:rsid w:val="00E5105A"/>
    <w:rsid w:val="00E56F96"/>
    <w:rsid w:val="00E671BE"/>
    <w:rsid w:val="00E717DF"/>
    <w:rsid w:val="00E84EC8"/>
    <w:rsid w:val="00E952E1"/>
    <w:rsid w:val="00EC704C"/>
    <w:rsid w:val="00EC7A25"/>
    <w:rsid w:val="00ED3AA3"/>
    <w:rsid w:val="00ED75C4"/>
    <w:rsid w:val="00EE0553"/>
    <w:rsid w:val="00EE091D"/>
    <w:rsid w:val="00EE522C"/>
    <w:rsid w:val="00EF20D0"/>
    <w:rsid w:val="00EF246A"/>
    <w:rsid w:val="00EF352D"/>
    <w:rsid w:val="00F04D24"/>
    <w:rsid w:val="00F16033"/>
    <w:rsid w:val="00F264C8"/>
    <w:rsid w:val="00F42BF2"/>
    <w:rsid w:val="00F57545"/>
    <w:rsid w:val="00F70A5E"/>
    <w:rsid w:val="00F74DC9"/>
    <w:rsid w:val="00F85C48"/>
    <w:rsid w:val="00F875D3"/>
    <w:rsid w:val="00F90916"/>
    <w:rsid w:val="00FA0AB7"/>
    <w:rsid w:val="00FA109C"/>
    <w:rsid w:val="00FF12DB"/>
    <w:rsid w:val="00FF1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66F"/>
    <w:rPr>
      <w:color w:val="0000FF" w:themeColor="hyperlink"/>
      <w:u w:val="single"/>
    </w:rPr>
  </w:style>
  <w:style w:type="paragraph" w:styleId="Header">
    <w:name w:val="header"/>
    <w:basedOn w:val="Normal"/>
    <w:link w:val="HeaderChar"/>
    <w:uiPriority w:val="99"/>
    <w:unhideWhenUsed/>
    <w:rsid w:val="00462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13"/>
  </w:style>
  <w:style w:type="paragraph" w:styleId="Footer">
    <w:name w:val="footer"/>
    <w:basedOn w:val="Normal"/>
    <w:link w:val="FooterChar"/>
    <w:uiPriority w:val="99"/>
    <w:semiHidden/>
    <w:unhideWhenUsed/>
    <w:rsid w:val="004626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2613"/>
  </w:style>
</w:styles>
</file>

<file path=word/webSettings.xml><?xml version="1.0" encoding="utf-8"?>
<w:webSettings xmlns:r="http://schemas.openxmlformats.org/officeDocument/2006/relationships" xmlns:w="http://schemas.openxmlformats.org/wordprocessingml/2006/main">
  <w:divs>
    <w:div w:id="43719161">
      <w:bodyDiv w:val="1"/>
      <w:marLeft w:val="0"/>
      <w:marRight w:val="0"/>
      <w:marTop w:val="0"/>
      <w:marBottom w:val="0"/>
      <w:divBdr>
        <w:top w:val="none" w:sz="0" w:space="0" w:color="auto"/>
        <w:left w:val="none" w:sz="0" w:space="0" w:color="auto"/>
        <w:bottom w:val="none" w:sz="0" w:space="0" w:color="auto"/>
        <w:right w:val="none" w:sz="0" w:space="0" w:color="auto"/>
      </w:divBdr>
    </w:div>
    <w:div w:id="473792457">
      <w:bodyDiv w:val="1"/>
      <w:marLeft w:val="0"/>
      <w:marRight w:val="0"/>
      <w:marTop w:val="0"/>
      <w:marBottom w:val="0"/>
      <w:divBdr>
        <w:top w:val="none" w:sz="0" w:space="0" w:color="auto"/>
        <w:left w:val="none" w:sz="0" w:space="0" w:color="auto"/>
        <w:bottom w:val="none" w:sz="0" w:space="0" w:color="auto"/>
        <w:right w:val="none" w:sz="0" w:space="0" w:color="auto"/>
      </w:divBdr>
    </w:div>
    <w:div w:id="1330863925">
      <w:bodyDiv w:val="1"/>
      <w:marLeft w:val="0"/>
      <w:marRight w:val="0"/>
      <w:marTop w:val="0"/>
      <w:marBottom w:val="0"/>
      <w:divBdr>
        <w:top w:val="none" w:sz="0" w:space="0" w:color="auto"/>
        <w:left w:val="none" w:sz="0" w:space="0" w:color="auto"/>
        <w:bottom w:val="none" w:sz="0" w:space="0" w:color="auto"/>
        <w:right w:val="none" w:sz="0" w:space="0" w:color="auto"/>
      </w:divBdr>
    </w:div>
    <w:div w:id="163830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titutioncenter.org/blog/on-this-day-the-supreme-court-rules-against-segregation.%20Accessed%2009%20April%202018"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rchives.gov/education/lessons/brown-v-board.%20Accessed%2009%20April%202018" TargetMode="External"/><Relationship Id="rId12" Type="http://schemas.openxmlformats.org/officeDocument/2006/relationships/hyperlink" Target="https://www.virginiahistory.org/collections-and-resources/virginia-history-explorer/civil-rights-movement-virgin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cialwelfare.library.vcu.edu/eras/great-depression/black-richmond-1934/" TargetMode="External"/><Relationship Id="rId11" Type="http://schemas.openxmlformats.org/officeDocument/2006/relationships/hyperlink" Target="https://www.virginiahistory.org/collections-and-resources/virginia-history-explorer/civil-rights-movement-virginia/green-decisi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virginiahistory.org/collections-and-resources/virginia-history-explorer/jim-crow-civil-rights-virginia.%20Accessed%2009%20April%202018" TargetMode="External"/><Relationship Id="rId4" Type="http://schemas.openxmlformats.org/officeDocument/2006/relationships/footnotes" Target="footnotes.xml"/><Relationship Id="rId9" Type="http://schemas.openxmlformats.org/officeDocument/2006/relationships/hyperlink" Target="https://www.ncpedia.org/civil-rights-movement/brown-v-board-of-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1664</TotalTime>
  <Pages>7</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309</cp:revision>
  <dcterms:created xsi:type="dcterms:W3CDTF">2018-04-07T05:56:00Z</dcterms:created>
  <dcterms:modified xsi:type="dcterms:W3CDTF">2018-04-09T04:39:00Z</dcterms:modified>
</cp:coreProperties>
</file>