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09744F" w:rsidRPr="00BF5333" w:rsidRDefault="0009744F" w:rsidP="003D1DA9">
      <w:pPr>
        <w:spacing w:line="480" w:lineRule="auto"/>
        <w:contextualSpacing/>
      </w:pPr>
    </w:p>
    <w:p w:rsidR="0088072B" w:rsidRPr="00BF5333" w:rsidRDefault="00342D67" w:rsidP="0009744F">
      <w:pPr>
        <w:spacing w:line="480" w:lineRule="auto"/>
        <w:contextualSpacing/>
        <w:jc w:val="center"/>
      </w:pPr>
      <w:r w:rsidRPr="00BF5333">
        <w:t>Health Related Government Agencies</w:t>
      </w:r>
    </w:p>
    <w:p w:rsidR="0009744F" w:rsidRPr="00BF5333" w:rsidRDefault="0009744F" w:rsidP="0009744F">
      <w:pPr>
        <w:spacing w:line="480" w:lineRule="auto"/>
        <w:contextualSpacing/>
        <w:jc w:val="center"/>
      </w:pPr>
      <w:r w:rsidRPr="00BF5333">
        <w:t>Student’s Name</w:t>
      </w:r>
    </w:p>
    <w:p w:rsidR="0009744F" w:rsidRPr="00BF5333" w:rsidRDefault="0009744F" w:rsidP="0009744F">
      <w:pPr>
        <w:spacing w:line="480" w:lineRule="auto"/>
        <w:contextualSpacing/>
        <w:jc w:val="center"/>
      </w:pPr>
      <w:r w:rsidRPr="00BF5333">
        <w:t>Institution</w:t>
      </w:r>
    </w:p>
    <w:p w:rsidR="0009744F" w:rsidRPr="00BF5333" w:rsidRDefault="0009744F" w:rsidP="0009744F">
      <w:pPr>
        <w:spacing w:line="480" w:lineRule="auto"/>
        <w:contextualSpacing/>
        <w:jc w:val="center"/>
      </w:pPr>
      <w:r w:rsidRPr="00BF5333">
        <w:t>Date</w:t>
      </w: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09744F" w:rsidRPr="00BF5333" w:rsidRDefault="0009744F" w:rsidP="0009744F">
      <w:pPr>
        <w:spacing w:line="480" w:lineRule="auto"/>
        <w:contextualSpacing/>
        <w:jc w:val="center"/>
      </w:pPr>
    </w:p>
    <w:p w:rsidR="00342D67" w:rsidRPr="00BF5333" w:rsidRDefault="00761FC7" w:rsidP="003D1DA9">
      <w:pPr>
        <w:spacing w:line="480" w:lineRule="auto"/>
        <w:contextualSpacing/>
        <w:rPr>
          <w:b/>
        </w:rPr>
      </w:pPr>
      <w:r w:rsidRPr="00BF5333">
        <w:rPr>
          <w:b/>
        </w:rPr>
        <w:lastRenderedPageBreak/>
        <w:t>Introduction</w:t>
      </w:r>
    </w:p>
    <w:p w:rsidR="00761FC7" w:rsidRPr="00BF5333" w:rsidRDefault="00761FC7" w:rsidP="004E660E">
      <w:pPr>
        <w:spacing w:line="480" w:lineRule="auto"/>
        <w:ind w:firstLine="720"/>
        <w:contextualSpacing/>
      </w:pPr>
      <w:r w:rsidRPr="00BF5333">
        <w:t>Policy in h</w:t>
      </w:r>
      <w:r w:rsidR="00C849F7">
        <w:t>ealth plays significant roles in</w:t>
      </w:r>
      <w:r w:rsidRPr="00BF5333">
        <w:t xml:space="preserve"> influencing </w:t>
      </w:r>
      <w:r w:rsidR="005B3220" w:rsidRPr="00BF5333">
        <w:t>individuals</w:t>
      </w:r>
      <w:r w:rsidR="004F79FE" w:rsidRPr="00BF5333">
        <w:t xml:space="preserve"> and firms and the decisions they make regarding health matters. Through policy, healthcare practice and the surroundings in which people reside</w:t>
      </w:r>
      <w:r w:rsidR="00E92C50" w:rsidRPr="00BF5333">
        <w:t xml:space="preserve"> and work are impacted. </w:t>
      </w:r>
      <w:r w:rsidR="00704907" w:rsidRPr="00BF5333">
        <w:t>Through</w:t>
      </w:r>
      <w:r w:rsidR="00D777EA" w:rsidRPr="00BF5333">
        <w:t xml:space="preserve"> policy, people can get quality health care because it is through the legal principles found in policy that </w:t>
      </w:r>
      <w:r w:rsidR="006F5F73" w:rsidRPr="00BF5333">
        <w:t>regulations regarding healthcare provision</w:t>
      </w:r>
      <w:r w:rsidR="00704907" w:rsidRPr="00BF5333">
        <w:t>s</w:t>
      </w:r>
      <w:r w:rsidR="006F5F73" w:rsidRPr="00BF5333">
        <w:t xml:space="preserve"> are provided. Additionally, it is </w:t>
      </w:r>
      <w:r w:rsidR="00704907" w:rsidRPr="00BF5333">
        <w:t>through</w:t>
      </w:r>
      <w:r w:rsidR="006F5F73" w:rsidRPr="00BF5333">
        <w:t xml:space="preserve"> policy that healthcare providers align their services to ensure they comply with the stipulated regulations in all areas of service provision to avoid legal issues. It is worth noting that federal </w:t>
      </w:r>
      <w:r w:rsidR="005F3543" w:rsidRPr="00BF5333">
        <w:t>health institutes play significant roles in ensuring that the right stipulations are provided</w:t>
      </w:r>
      <w:r w:rsidR="004726F5" w:rsidRPr="00BF5333">
        <w:t xml:space="preserve"> to ensure the provision of quality services to clients. This essay is going to evaluate </w:t>
      </w:r>
      <w:r w:rsidR="00411309" w:rsidRPr="00BF5333">
        <w:t xml:space="preserve">the purpose and structure of the HHS agency. Additionally, it is </w:t>
      </w:r>
      <w:r w:rsidR="00C43B70" w:rsidRPr="00BF5333">
        <w:t xml:space="preserve">going to evaluate the policy areas constituted under the agency’s purview. Furthermore, it is going to provide an example of a developed regulation and its impact on the healthcare industry or population. </w:t>
      </w:r>
    </w:p>
    <w:p w:rsidR="00C43B70" w:rsidRPr="00BF5333" w:rsidRDefault="001A7457" w:rsidP="003D1DA9">
      <w:pPr>
        <w:spacing w:line="480" w:lineRule="auto"/>
        <w:contextualSpacing/>
        <w:rPr>
          <w:b/>
        </w:rPr>
      </w:pPr>
      <w:r w:rsidRPr="00BF5333">
        <w:rPr>
          <w:b/>
        </w:rPr>
        <w:t>The</w:t>
      </w:r>
      <w:r w:rsidR="00D01E38" w:rsidRPr="00BF5333">
        <w:rPr>
          <w:b/>
        </w:rPr>
        <w:t xml:space="preserve"> aim and structure of the HHS agency</w:t>
      </w:r>
    </w:p>
    <w:p w:rsidR="00D01E38" w:rsidRPr="00BF5333" w:rsidRDefault="003262A2" w:rsidP="004E660E">
      <w:pPr>
        <w:spacing w:line="480" w:lineRule="auto"/>
        <w:ind w:firstLine="720"/>
        <w:contextualSpacing/>
      </w:pPr>
      <w:r w:rsidRPr="00BF5333">
        <w:t>The Department of Health and Human Services (HHS</w:t>
      </w:r>
      <w:r w:rsidR="00FA68F6" w:rsidRPr="00BF5333">
        <w:t>)</w:t>
      </w:r>
      <w:r w:rsidR="006C73CA" w:rsidRPr="00BF5333">
        <w:t xml:space="preserve"> plays an imperative</w:t>
      </w:r>
      <w:r w:rsidR="00B60CE8">
        <w:t xml:space="preserve"> role in</w:t>
      </w:r>
      <w:r w:rsidR="00FA68F6" w:rsidRPr="00BF5333">
        <w:t xml:space="preserve"> enhancing the </w:t>
      </w:r>
      <w:r w:rsidR="003A64FB">
        <w:t>well-being</w:t>
      </w:r>
      <w:r w:rsidR="00FA68F6" w:rsidRPr="00BF5333">
        <w:t xml:space="preserve"> and health of American citizens through the provision of effective and efficient human and health services. Additionally, the HHS plays the significant role of </w:t>
      </w:r>
      <w:r w:rsidR="007C2FAC" w:rsidRPr="00BF5333">
        <w:t>promoting</w:t>
      </w:r>
      <w:r w:rsidR="00FA68F6" w:rsidRPr="00BF5333">
        <w:t xml:space="preserve"> sound and </w:t>
      </w:r>
      <w:r w:rsidR="008B1C28" w:rsidRPr="00BF5333">
        <w:t>persistent</w:t>
      </w:r>
      <w:r w:rsidR="00FA68F6" w:rsidRPr="00BF5333">
        <w:t xml:space="preserve"> advances in the </w:t>
      </w:r>
      <w:r w:rsidR="00D367AE" w:rsidRPr="00BF5333">
        <w:t>discipline</w:t>
      </w:r>
      <w:r w:rsidR="00FA68F6" w:rsidRPr="00BF5333">
        <w:t xml:space="preserve">s </w:t>
      </w:r>
      <w:r w:rsidR="00033CBA" w:rsidRPr="00BF5333">
        <w:t>principally</w:t>
      </w:r>
      <w:r w:rsidR="00FA68F6" w:rsidRPr="00BF5333">
        <w:t xml:space="preserve"> public health, medicine, and social services. </w:t>
      </w:r>
      <w:r w:rsidR="002C3022" w:rsidRPr="00BF5333">
        <w:t>The HHS ensures</w:t>
      </w:r>
      <w:r w:rsidR="00003100" w:rsidRPr="00BF5333">
        <w:t xml:space="preserve"> that residents receive the right services that would not jeopardize their health. </w:t>
      </w:r>
    </w:p>
    <w:p w:rsidR="007456E6" w:rsidRPr="00BF5333" w:rsidRDefault="007456E6" w:rsidP="003D1DA9">
      <w:pPr>
        <w:spacing w:line="480" w:lineRule="auto"/>
        <w:contextualSpacing/>
        <w:rPr>
          <w:b/>
        </w:rPr>
      </w:pPr>
      <w:r w:rsidRPr="00BF5333">
        <w:rPr>
          <w:b/>
        </w:rPr>
        <w:t>Policy Oversight</w:t>
      </w:r>
    </w:p>
    <w:p w:rsidR="003543FB" w:rsidRPr="00BF5333" w:rsidRDefault="00C06E29" w:rsidP="004E660E">
      <w:pPr>
        <w:spacing w:line="480" w:lineRule="auto"/>
        <w:ind w:firstLine="720"/>
        <w:contextualSpacing/>
      </w:pPr>
      <w:r w:rsidRPr="00BF5333">
        <w:t>I</w:t>
      </w:r>
      <w:r w:rsidR="00110F5E" w:rsidRPr="00BF5333">
        <w:t>t is worth noting that the HHS</w:t>
      </w:r>
      <w:r w:rsidR="00724090" w:rsidRPr="00BF5333">
        <w:t>’s structure</w:t>
      </w:r>
      <w:r w:rsidR="00110F5E" w:rsidRPr="00BF5333">
        <w:t xml:space="preserve"> </w:t>
      </w:r>
      <w:r w:rsidR="00481BCF" w:rsidRPr="00BF5333">
        <w:t xml:space="preserve">needs the contribution and assistance of other </w:t>
      </w:r>
      <w:r w:rsidR="00C26461" w:rsidRPr="00BF5333">
        <w:t xml:space="preserve">divisions and agencies with the Public Health Service in the U.S. </w:t>
      </w:r>
      <w:r w:rsidR="00630A71" w:rsidRPr="00BF5333">
        <w:t xml:space="preserve">The Administration for </w:t>
      </w:r>
      <w:r w:rsidR="00630A71" w:rsidRPr="00BF5333">
        <w:lastRenderedPageBreak/>
        <w:t xml:space="preserve">Children and Families (ACF) is one of the agencies that </w:t>
      </w:r>
      <w:r w:rsidR="002C3022" w:rsidRPr="00BF5333">
        <w:t>enhance</w:t>
      </w:r>
      <w:r w:rsidR="00630A71" w:rsidRPr="00BF5333">
        <w:t xml:space="preserve"> the HHS</w:t>
      </w:r>
      <w:r w:rsidR="00C95D5F" w:rsidRPr="00BF5333">
        <w:t xml:space="preserve"> </w:t>
      </w:r>
      <w:r w:rsidR="000E55FF" w:rsidRPr="00BF5333">
        <w:t xml:space="preserve">in the provision of quality health. The ACF plays an imperative role of fostering </w:t>
      </w:r>
      <w:r w:rsidR="003A64FB">
        <w:t>well-being</w:t>
      </w:r>
      <w:r w:rsidR="000E55FF" w:rsidRPr="00BF5333">
        <w:t xml:space="preserve"> and health through the provision of federal resources, partnership and leadership for the </w:t>
      </w:r>
      <w:r w:rsidR="007B4F85" w:rsidRPr="00BF5333">
        <w:t>empathetic</w:t>
      </w:r>
      <w:r w:rsidR="000E55FF" w:rsidRPr="00BF5333">
        <w:t xml:space="preserve"> and </w:t>
      </w:r>
      <w:r w:rsidR="007B4F85" w:rsidRPr="00BF5333">
        <w:t>efficient</w:t>
      </w:r>
      <w:r w:rsidR="000E55FF" w:rsidRPr="00BF5333">
        <w:t xml:space="preserve"> human services’ delivery</w:t>
      </w:r>
      <w:r w:rsidR="00C95D5F" w:rsidRPr="00BF5333">
        <w:t xml:space="preserve"> (Teitelbaum &amp; Wilensky, 2015)</w:t>
      </w:r>
      <w:r w:rsidR="000E55FF" w:rsidRPr="00BF5333">
        <w:t xml:space="preserve">. </w:t>
      </w:r>
      <w:r w:rsidR="007B4F85" w:rsidRPr="00BF5333">
        <w:t xml:space="preserve">The Administration for Community Living is another agency that </w:t>
      </w:r>
      <w:r w:rsidR="00680C04" w:rsidRPr="00BF5333">
        <w:t xml:space="preserve">plays a significant role in the maximization of the autonomy, and health and </w:t>
      </w:r>
      <w:r w:rsidR="003A64FB">
        <w:t>well-being</w:t>
      </w:r>
      <w:r w:rsidR="00680C04" w:rsidRPr="00BF5333">
        <w:t xml:space="preserve"> of older individuals and </w:t>
      </w:r>
      <w:r w:rsidR="00EF3582" w:rsidRPr="00BF5333">
        <w:t>citizens with disabilities and</w:t>
      </w:r>
      <w:r w:rsidR="003543FB" w:rsidRPr="00BF5333">
        <w:t xml:space="preserve"> their caregivers and families.</w:t>
      </w:r>
    </w:p>
    <w:p w:rsidR="003543FB" w:rsidRPr="00BF5333" w:rsidRDefault="007B483D" w:rsidP="004E660E">
      <w:pPr>
        <w:spacing w:line="480" w:lineRule="auto"/>
        <w:ind w:firstLine="720"/>
        <w:contextualSpacing/>
      </w:pPr>
      <w:r w:rsidRPr="00BF5333">
        <w:t>Additionally, there is the Agency for Healthcare Research and Quality (AHRQ)</w:t>
      </w:r>
      <w:r w:rsidR="00DA1683" w:rsidRPr="00BF5333">
        <w:t xml:space="preserve"> that plays the significant role of generating evidence to guarantee the safety of health</w:t>
      </w:r>
      <w:r w:rsidR="002F57B5">
        <w:t xml:space="preserve"> </w:t>
      </w:r>
      <w:r w:rsidR="00DA1683" w:rsidRPr="00BF5333">
        <w:t>care regarding quality, accessibility</w:t>
      </w:r>
      <w:r w:rsidR="0014229A">
        <w:t>,</w:t>
      </w:r>
      <w:r w:rsidR="00DA1683" w:rsidRPr="00BF5333">
        <w:t xml:space="preserve"> and affordability</w:t>
      </w:r>
      <w:r w:rsidR="00E87D14" w:rsidRPr="00BF5333">
        <w:t xml:space="preserve"> (Teitelbaum &amp; Wilensky, 2015)</w:t>
      </w:r>
      <w:r w:rsidR="00DA1683" w:rsidRPr="00BF5333">
        <w:t xml:space="preserve">. </w:t>
      </w:r>
      <w:r w:rsidR="002B0648" w:rsidRPr="00BF5333">
        <w:t>Another agency in the HHS’ structure is the Agency for Toxic Substances and Disease Registry (ATSDR)</w:t>
      </w:r>
      <w:r w:rsidR="00C638D0" w:rsidRPr="00BF5333">
        <w:t xml:space="preserve">, which plays the role of serving the public through </w:t>
      </w:r>
      <w:r w:rsidR="00972873" w:rsidRPr="00BF5333">
        <w:t xml:space="preserve">the promotion of safe and healthy environments and </w:t>
      </w:r>
      <w:r w:rsidR="00914A93" w:rsidRPr="00BF5333">
        <w:t>avert</w:t>
      </w:r>
      <w:r w:rsidR="00972873" w:rsidRPr="00BF5333">
        <w:t xml:space="preserve">ing </w:t>
      </w:r>
      <w:r w:rsidR="00914A93" w:rsidRPr="00BF5333">
        <w:t>detrimental</w:t>
      </w:r>
      <w:r w:rsidR="00972873" w:rsidRPr="00BF5333">
        <w:t xml:space="preserve"> exposures</w:t>
      </w:r>
      <w:r w:rsidR="00E87D14" w:rsidRPr="00BF5333">
        <w:t xml:space="preserve"> (Teitelbaum &amp; Wilensky, 2015)</w:t>
      </w:r>
      <w:r w:rsidR="00972873" w:rsidRPr="00BF5333">
        <w:t xml:space="preserve">. </w:t>
      </w:r>
      <w:r w:rsidR="000560F9" w:rsidRPr="00BF5333">
        <w:t>There are</w:t>
      </w:r>
      <w:r w:rsidR="00664546" w:rsidRPr="00BF5333">
        <w:t xml:space="preserve"> also the Centers for Disease Control and Prevention (CDC)</w:t>
      </w:r>
      <w:r w:rsidR="000560F9" w:rsidRPr="00BF5333">
        <w:t xml:space="preserve"> that play</w:t>
      </w:r>
      <w:r w:rsidR="00CA712A" w:rsidRPr="00BF5333">
        <w:t xml:space="preserve"> the significant role of </w:t>
      </w:r>
      <w:r w:rsidR="00A62CEA" w:rsidRPr="00BF5333">
        <w:t xml:space="preserve">working together </w:t>
      </w:r>
      <w:r w:rsidR="00CA712A" w:rsidRPr="00BF5333">
        <w:t xml:space="preserve">to generate the information, expertise, and </w:t>
      </w:r>
      <w:r w:rsidR="0073229B" w:rsidRPr="00BF5333">
        <w:t>apparatus</w:t>
      </w:r>
      <w:r w:rsidR="00CA712A" w:rsidRPr="00BF5333">
        <w:t xml:space="preserve"> that individuals and communities require to </w:t>
      </w:r>
      <w:r w:rsidR="0073229B" w:rsidRPr="00BF5333">
        <w:t>guard</w:t>
      </w:r>
      <w:r w:rsidR="00CA712A" w:rsidRPr="00BF5333">
        <w:t xml:space="preserve"> their health through health promotion, disease </w:t>
      </w:r>
      <w:r w:rsidR="0073229B" w:rsidRPr="00BF5333">
        <w:t>deterrence</w:t>
      </w:r>
      <w:r w:rsidR="00CA712A" w:rsidRPr="00BF5333">
        <w:t>, injury</w:t>
      </w:r>
      <w:r w:rsidR="003642CC">
        <w:t>,</w:t>
      </w:r>
      <w:r w:rsidR="00CA712A" w:rsidRPr="00BF5333">
        <w:t xml:space="preserve"> </w:t>
      </w:r>
      <w:r w:rsidR="004C25C1" w:rsidRPr="00BF5333">
        <w:t xml:space="preserve">and disability </w:t>
      </w:r>
      <w:r w:rsidR="00CA712A" w:rsidRPr="00BF5333">
        <w:t>preven</w:t>
      </w:r>
      <w:r w:rsidR="004C25C1" w:rsidRPr="00BF5333">
        <w:t xml:space="preserve">tion, </w:t>
      </w:r>
      <w:r w:rsidR="00CA712A" w:rsidRPr="00BF5333">
        <w:t xml:space="preserve">and </w:t>
      </w:r>
      <w:r w:rsidR="004C25C1" w:rsidRPr="00BF5333">
        <w:t xml:space="preserve">being vigilant concerning </w:t>
      </w:r>
      <w:r w:rsidR="00CA712A" w:rsidRPr="00BF5333">
        <w:t xml:space="preserve">new health </w:t>
      </w:r>
      <w:r w:rsidR="00813AFD" w:rsidRPr="00BF5333">
        <w:t>hazard</w:t>
      </w:r>
      <w:r w:rsidR="00CA712A" w:rsidRPr="00BF5333">
        <w:t xml:space="preserve">s. </w:t>
      </w:r>
    </w:p>
    <w:p w:rsidR="003543FB" w:rsidRPr="00BF5333" w:rsidRDefault="004D751E" w:rsidP="004E660E">
      <w:pPr>
        <w:spacing w:line="480" w:lineRule="auto"/>
        <w:ind w:firstLine="720"/>
        <w:contextualSpacing/>
      </w:pPr>
      <w:r w:rsidRPr="00BF5333">
        <w:t>In the HHS’ structure, there is also the Center for Medicare and Medicaid Services (CMS)</w:t>
      </w:r>
      <w:r w:rsidR="00EC0B3D" w:rsidRPr="00BF5333">
        <w:t xml:space="preserve"> which has the role of </w:t>
      </w:r>
      <w:r w:rsidR="00A47AB5" w:rsidRPr="00BF5333">
        <w:t>intensifying</w:t>
      </w:r>
      <w:r w:rsidR="00EC0B3D" w:rsidRPr="00BF5333">
        <w:t xml:space="preserve"> and modernizing the healthcare system of the U.S. with the aim of providing access to advanced quality care and enhanced health at reduced costs</w:t>
      </w:r>
      <w:r w:rsidR="00E87D14" w:rsidRPr="00BF5333">
        <w:t xml:space="preserve"> (Teitelbaum &amp; Wilensky, 2015)</w:t>
      </w:r>
      <w:r w:rsidR="00EC0B3D" w:rsidRPr="00BF5333">
        <w:t xml:space="preserve">. </w:t>
      </w:r>
      <w:r w:rsidR="0056444C" w:rsidRPr="00BF5333">
        <w:t>The Food and Drug Administration (FDA)</w:t>
      </w:r>
      <w:r w:rsidR="002949F2" w:rsidRPr="00BF5333">
        <w:t xml:space="preserve"> is another agency</w:t>
      </w:r>
      <w:r w:rsidR="00553CB1" w:rsidRPr="00BF5333">
        <w:t xml:space="preserve"> within the HHS’ structure that </w:t>
      </w:r>
      <w:r w:rsidR="00DD5624" w:rsidRPr="00BF5333">
        <w:t>guarantee</w:t>
      </w:r>
      <w:r w:rsidR="002A13B0" w:rsidRPr="00BF5333">
        <w:t xml:space="preserve">s the </w:t>
      </w:r>
      <w:r w:rsidR="00F17F69" w:rsidRPr="00BF5333">
        <w:t>effectiveness</w:t>
      </w:r>
      <w:r w:rsidR="002A13B0" w:rsidRPr="00BF5333">
        <w:t>, safety, and security of veterinary and human drugs, medical devices, and biological products</w:t>
      </w:r>
      <w:r w:rsidR="00E87D14" w:rsidRPr="00BF5333">
        <w:t xml:space="preserve"> (Teitelbaum &amp; Wilensky, 2015)</w:t>
      </w:r>
      <w:r w:rsidR="00E5639C" w:rsidRPr="00BF5333">
        <w:t xml:space="preserve">. The FDA also </w:t>
      </w:r>
      <w:r w:rsidR="00F17F69" w:rsidRPr="00BF5333">
        <w:t>guarantee</w:t>
      </w:r>
      <w:r w:rsidR="00E5639C" w:rsidRPr="00BF5333">
        <w:t xml:space="preserve">s the security and safety of the country’s cosmetics, food supply and </w:t>
      </w:r>
      <w:r w:rsidR="00E5639C" w:rsidRPr="00BF5333">
        <w:lastRenderedPageBreak/>
        <w:t xml:space="preserve">products capable of </w:t>
      </w:r>
      <w:r w:rsidR="00F17F69" w:rsidRPr="00BF5333">
        <w:t>discharg</w:t>
      </w:r>
      <w:r w:rsidR="00E5639C" w:rsidRPr="00BF5333">
        <w:t xml:space="preserve">ing radiation. </w:t>
      </w:r>
      <w:r w:rsidR="00DE3430" w:rsidRPr="00BF5333">
        <w:t>Another agency in the HHS’ structure is the Health Resources and Services Administration (HRSA)</w:t>
      </w:r>
      <w:r w:rsidR="000D5F97" w:rsidRPr="00BF5333">
        <w:t xml:space="preserve">, which </w:t>
      </w:r>
      <w:r w:rsidR="00AF183D" w:rsidRPr="00BF5333">
        <w:t>is constituted to enhance health and attain equity in health through access to a skilled healthcare professional, quality services, and innovative programs</w:t>
      </w:r>
      <w:r w:rsidR="00E87D14" w:rsidRPr="00BF5333">
        <w:t xml:space="preserve"> (Teitelbaum &amp; Wilensky, 2015)</w:t>
      </w:r>
      <w:r w:rsidR="00AF183D" w:rsidRPr="00BF5333">
        <w:t xml:space="preserve">. </w:t>
      </w:r>
      <w:r w:rsidR="00F64729" w:rsidRPr="00BF5333">
        <w:t xml:space="preserve">To ensure that the health issues of indigenous individuals are taken into consideration, </w:t>
      </w:r>
      <w:r w:rsidR="00E41586" w:rsidRPr="00BF5333">
        <w:t>the HHS has a structure under the Indian Health Service (IHS)</w:t>
      </w:r>
      <w:r w:rsidR="00D178E7" w:rsidRPr="00BF5333">
        <w:t xml:space="preserve">. The IHS’s role revolves around the raising of the mental, physical, </w:t>
      </w:r>
      <w:r w:rsidR="00736B52" w:rsidRPr="00BF5333">
        <w:t>spiritual, and social health of Alaska Natives and American Indian</w:t>
      </w:r>
      <w:r w:rsidR="008F2A37" w:rsidRPr="00BF5333">
        <w:t xml:space="preserve">s to the </w:t>
      </w:r>
      <w:r w:rsidR="003C1806">
        <w:t>optimum</w:t>
      </w:r>
      <w:r w:rsidR="008F2A37" w:rsidRPr="00BF5333">
        <w:t xml:space="preserve"> level. </w:t>
      </w:r>
    </w:p>
    <w:p w:rsidR="00110F5E" w:rsidRPr="00BF5333" w:rsidRDefault="002C1AF0" w:rsidP="004E660E">
      <w:pPr>
        <w:spacing w:line="480" w:lineRule="auto"/>
        <w:ind w:firstLine="720"/>
        <w:contextualSpacing/>
      </w:pPr>
      <w:r w:rsidRPr="00BF5333">
        <w:t xml:space="preserve">Furthermore, </w:t>
      </w:r>
      <w:r w:rsidR="004143B5" w:rsidRPr="00BF5333">
        <w:t xml:space="preserve">the National Institutes of Health (NIH) also plays a significant role of seeking </w:t>
      </w:r>
      <w:r w:rsidR="007977C6" w:rsidRPr="00BF5333">
        <w:t>elementary</w:t>
      </w:r>
      <w:r w:rsidR="004143B5" w:rsidRPr="00BF5333">
        <w:t xml:space="preserve"> knowledge concerning behavior and n</w:t>
      </w:r>
      <w:r w:rsidR="00CB5673" w:rsidRPr="00BF5333">
        <w:t xml:space="preserve">ature of living systems and knowledge application to </w:t>
      </w:r>
      <w:r w:rsidR="007977C6" w:rsidRPr="00BF5333">
        <w:t xml:space="preserve">prolong </w:t>
      </w:r>
      <w:r w:rsidR="00CB5673" w:rsidRPr="00BF5333">
        <w:t xml:space="preserve">healthy life and </w:t>
      </w:r>
      <w:r w:rsidR="007977C6" w:rsidRPr="00BF5333">
        <w:t>diminish</w:t>
      </w:r>
      <w:r w:rsidR="00CB5673" w:rsidRPr="00BF5333">
        <w:t xml:space="preserve"> the </w:t>
      </w:r>
      <w:r w:rsidR="007977C6" w:rsidRPr="00BF5333">
        <w:t>yoke</w:t>
      </w:r>
      <w:r w:rsidR="00CB5673" w:rsidRPr="00BF5333">
        <w:t xml:space="preserve">s of disability and </w:t>
      </w:r>
      <w:r w:rsidR="007977C6" w:rsidRPr="00BF5333">
        <w:t>infirmity</w:t>
      </w:r>
      <w:r w:rsidR="003543FB" w:rsidRPr="00BF5333">
        <w:t xml:space="preserve"> (Teitelbaum &amp; Wilensky, 2015)</w:t>
      </w:r>
      <w:r w:rsidR="00CB5673" w:rsidRPr="00BF5333">
        <w:t xml:space="preserve">. </w:t>
      </w:r>
      <w:r w:rsidR="00CE0BA7" w:rsidRPr="00BF5333">
        <w:t>Moreover, the structure of the HHS also contains the Substance Abuse and Mental Health Services Administration (SAMHSA)</w:t>
      </w:r>
      <w:r w:rsidR="00AB1398" w:rsidRPr="00BF5333">
        <w:t>, whose role is to diminish mental illness and substance abuse impact on America’s residents</w:t>
      </w:r>
      <w:r w:rsidR="00590D27" w:rsidRPr="00BF5333">
        <w:t xml:space="preserve"> (Teitelbaum &amp; Wilensky, 2015)</w:t>
      </w:r>
      <w:r w:rsidR="00AB1398" w:rsidRPr="00BF5333">
        <w:t xml:space="preserve">. </w:t>
      </w:r>
      <w:r w:rsidR="003A77DB" w:rsidRPr="00BF5333">
        <w:t xml:space="preserve">This agency is </w:t>
      </w:r>
      <w:r w:rsidR="005F1B2B" w:rsidRPr="00BF5333">
        <w:t xml:space="preserve">related to healthcare because of the involvement of mental ailments and substance abuse. </w:t>
      </w:r>
    </w:p>
    <w:p w:rsidR="009618A1" w:rsidRPr="00BF5333" w:rsidRDefault="00C0086C" w:rsidP="00110F5E">
      <w:pPr>
        <w:spacing w:line="480" w:lineRule="auto"/>
        <w:contextualSpacing/>
        <w:rPr>
          <w:b/>
        </w:rPr>
      </w:pPr>
      <w:r w:rsidRPr="00BF5333">
        <w:rPr>
          <w:b/>
        </w:rPr>
        <w:t>Example and Impact</w:t>
      </w:r>
    </w:p>
    <w:p w:rsidR="00C0086C" w:rsidRPr="00BF5333" w:rsidRDefault="007309CE" w:rsidP="004E660E">
      <w:pPr>
        <w:spacing w:line="480" w:lineRule="auto"/>
        <w:ind w:firstLine="720"/>
        <w:contextualSpacing/>
      </w:pPr>
      <w:r w:rsidRPr="00BF5333">
        <w:t>An example of</w:t>
      </w:r>
      <w:r w:rsidR="003934DA" w:rsidRPr="00BF5333">
        <w:t xml:space="preserve"> </w:t>
      </w:r>
      <w:r w:rsidR="00284414">
        <w:t xml:space="preserve">a </w:t>
      </w:r>
      <w:r w:rsidR="003934DA" w:rsidRPr="00BF5333">
        <w:t xml:space="preserve">developed </w:t>
      </w:r>
      <w:r w:rsidR="00557004" w:rsidRPr="00BF5333">
        <w:t>regulation is the $</w:t>
      </w:r>
      <w:r w:rsidR="003934DA" w:rsidRPr="00BF5333">
        <w:t xml:space="preserve">250 </w:t>
      </w:r>
      <w:r w:rsidR="003B5A83" w:rsidRPr="00BF5333">
        <w:t>refund</w:t>
      </w:r>
      <w:r w:rsidR="003934DA" w:rsidRPr="00BF5333">
        <w:t xml:space="preserve"> to </w:t>
      </w:r>
      <w:r w:rsidR="00472E13" w:rsidRPr="00BF5333">
        <w:t xml:space="preserve">Medicare beneficiaries reaching the Part D coverage gap. </w:t>
      </w:r>
      <w:r w:rsidR="00116C44" w:rsidRPr="00BF5333">
        <w:t>It is worth noting that the coverage gap is also referred to as the “</w:t>
      </w:r>
      <w:r w:rsidR="008F552E" w:rsidRPr="00BF5333">
        <w:t>donut hole</w:t>
      </w:r>
      <w:r w:rsidR="00116C44" w:rsidRPr="00BF5333">
        <w:t>”</w:t>
      </w:r>
      <w:r w:rsidR="008F552E" w:rsidRPr="00BF5333">
        <w:t xml:space="preserve"> and it signifies a temporary limit on</w:t>
      </w:r>
      <w:r w:rsidR="00B63009" w:rsidRPr="00BF5333">
        <w:t xml:space="preserve"> </w:t>
      </w:r>
      <w:r w:rsidR="00C1273B" w:rsidRPr="00BF5333">
        <w:t>what would be covered by the drug plan</w:t>
      </w:r>
      <w:r w:rsidR="008172F7" w:rsidRPr="00BF5333">
        <w:t xml:space="preserve"> (Okrent, 2010)</w:t>
      </w:r>
      <w:r w:rsidR="00C1273B" w:rsidRPr="00BF5333">
        <w:t xml:space="preserve">. </w:t>
      </w:r>
      <w:r w:rsidR="00385D81" w:rsidRPr="00BF5333">
        <w:t xml:space="preserve">In this plan, it can be observed that the law’s intent was clear and </w:t>
      </w:r>
      <w:r w:rsidR="00C24CA9" w:rsidRPr="00BF5333">
        <w:t>the agency’s resp</w:t>
      </w:r>
      <w:r w:rsidR="0008191C" w:rsidRPr="00BF5333">
        <w:t>onsibility involved implementing</w:t>
      </w:r>
      <w:r w:rsidR="00C24CA9" w:rsidRPr="00BF5333">
        <w:t xml:space="preserve"> the logistics. </w:t>
      </w:r>
      <w:r w:rsidR="0008191C" w:rsidRPr="00BF5333">
        <w:t xml:space="preserve">The implementation process necessitated the </w:t>
      </w:r>
      <w:r w:rsidR="000C7E49" w:rsidRPr="00BF5333">
        <w:t>sending of checks by July 1</w:t>
      </w:r>
      <w:r w:rsidR="00E96909" w:rsidRPr="00BF5333">
        <w:t xml:space="preserve"> (Okrent, 2010)</w:t>
      </w:r>
      <w:r w:rsidR="000C7E49" w:rsidRPr="00BF5333">
        <w:t xml:space="preserve">. Furthermore, </w:t>
      </w:r>
      <w:r w:rsidR="00D47AFB" w:rsidRPr="00BF5333">
        <w:t>there was the application of</w:t>
      </w:r>
      <w:r w:rsidR="00381E8A" w:rsidRPr="00BF5333">
        <w:t xml:space="preserve"> postcards, press releases, and letters to recipients</w:t>
      </w:r>
      <w:r w:rsidR="00D677BA" w:rsidRPr="00BF5333">
        <w:t xml:space="preserve"> and </w:t>
      </w:r>
      <w:r w:rsidR="00D47AFB" w:rsidRPr="00BF5333">
        <w:t xml:space="preserve">additional publicity measures to </w:t>
      </w:r>
      <w:r w:rsidR="00281B2F" w:rsidRPr="00BF5333">
        <w:t>inform</w:t>
      </w:r>
      <w:r w:rsidR="00D47AFB" w:rsidRPr="00BF5333">
        <w:t xml:space="preserve"> the public of the </w:t>
      </w:r>
      <w:r w:rsidR="00281B2F" w:rsidRPr="00BF5333">
        <w:t xml:space="preserve">start of the </w:t>
      </w:r>
      <w:r w:rsidR="00751C78" w:rsidRPr="00BF5333">
        <w:t xml:space="preserve">law’s implementation. The public needs to be enlightened and informed about the </w:t>
      </w:r>
      <w:r w:rsidR="00751C78" w:rsidRPr="00BF5333">
        <w:lastRenderedPageBreak/>
        <w:t xml:space="preserve">desire of the federal agency to introduce a new provision </w:t>
      </w:r>
      <w:r w:rsidR="00D273AE" w:rsidRPr="00BF5333">
        <w:t>for the public to understand what they are expected to do</w:t>
      </w:r>
      <w:r w:rsidR="00E96909" w:rsidRPr="00BF5333">
        <w:t xml:space="preserve"> (Okrent, 2010)</w:t>
      </w:r>
      <w:r w:rsidR="00D273AE" w:rsidRPr="00BF5333">
        <w:t xml:space="preserve">. </w:t>
      </w:r>
    </w:p>
    <w:p w:rsidR="001D2DD9" w:rsidRPr="00BF5333" w:rsidRDefault="001D2DD9" w:rsidP="004E660E">
      <w:pPr>
        <w:spacing w:line="480" w:lineRule="auto"/>
        <w:ind w:firstLine="720"/>
        <w:contextualSpacing/>
      </w:pPr>
      <w:r w:rsidRPr="00BF5333">
        <w:t xml:space="preserve">This provision had an impact on individuals’ health because it enhanced access to prescription drugs to people that had already surpassed their allowable limit. </w:t>
      </w:r>
      <w:r w:rsidR="006C21BB" w:rsidRPr="00BF5333">
        <w:t>Since the Part D</w:t>
      </w:r>
      <w:r w:rsidR="00120AA4" w:rsidRPr="00BF5333">
        <w:t xml:space="preserve"> </w:t>
      </w:r>
      <w:r w:rsidR="00F82081" w:rsidRPr="00BF5333">
        <w:t>coverage gap assists beneficiaries that had already exceeded the initial coverage limit of the plan, people could use this “donut hole”</w:t>
      </w:r>
      <w:r w:rsidR="00A709C2" w:rsidRPr="00BF5333">
        <w:t xml:space="preserve"> and get a rebate (Proto, 2017)</w:t>
      </w:r>
      <w:r w:rsidR="005F7AB7" w:rsidRPr="00BF5333">
        <w:t xml:space="preserve">. </w:t>
      </w:r>
      <w:r w:rsidR="00030917" w:rsidRPr="00BF5333">
        <w:t xml:space="preserve">Individuals, who could otherwise not </w:t>
      </w:r>
      <w:r w:rsidR="00AD37C2" w:rsidRPr="00BF5333">
        <w:t>have</w:t>
      </w:r>
      <w:r w:rsidR="00030917" w:rsidRPr="00BF5333">
        <w:t xml:space="preserve"> managed to access the additional prescription due to exhaustion of their initial coverage </w:t>
      </w:r>
      <w:r w:rsidR="00AD37C2" w:rsidRPr="00BF5333">
        <w:t>limits,</w:t>
      </w:r>
      <w:r w:rsidR="00030917" w:rsidRPr="00BF5333">
        <w:t xml:space="preserve"> could get </w:t>
      </w:r>
      <w:r w:rsidR="00AD37C2" w:rsidRPr="00BF5333">
        <w:t>additional</w:t>
      </w:r>
      <w:r w:rsidR="00030917" w:rsidRPr="00BF5333">
        <w:t xml:space="preserve"> </w:t>
      </w:r>
      <w:r w:rsidR="000B5988" w:rsidRPr="00BF5333">
        <w:t xml:space="preserve">prescription coverage. </w:t>
      </w:r>
    </w:p>
    <w:p w:rsidR="00D17B0D" w:rsidRPr="00BF5333" w:rsidRDefault="00D17B0D" w:rsidP="00110F5E">
      <w:pPr>
        <w:spacing w:line="480" w:lineRule="auto"/>
        <w:contextualSpacing/>
        <w:rPr>
          <w:b/>
        </w:rPr>
      </w:pPr>
      <w:r w:rsidRPr="00BF5333">
        <w:rPr>
          <w:b/>
        </w:rPr>
        <w:t>Conclusion</w:t>
      </w:r>
    </w:p>
    <w:p w:rsidR="00D17B0D" w:rsidRPr="00BF5333" w:rsidRDefault="00D17B0D" w:rsidP="00A46A4E">
      <w:pPr>
        <w:spacing w:line="480" w:lineRule="auto"/>
        <w:ind w:firstLine="720"/>
        <w:contextualSpacing/>
      </w:pPr>
      <w:r w:rsidRPr="00BF5333">
        <w:t xml:space="preserve">In conclusion, it can be observed that the </w:t>
      </w:r>
      <w:r w:rsidR="00D960D8">
        <w:t>HHS agency plays a vital role in</w:t>
      </w:r>
      <w:r w:rsidR="00DB6340" w:rsidRPr="00BF5333">
        <w:t xml:space="preserve"> enhancing the </w:t>
      </w:r>
      <w:r w:rsidR="003A64FB">
        <w:t>well-being</w:t>
      </w:r>
      <w:r w:rsidR="00DB6340" w:rsidRPr="00BF5333">
        <w:t xml:space="preserve"> and health of American citizens through the provision of effective and efficient human and health services. </w:t>
      </w:r>
      <w:r w:rsidR="00CF7213" w:rsidRPr="00BF5333">
        <w:t>Additionally</w:t>
      </w:r>
      <w:r w:rsidR="005A75EC" w:rsidRPr="00BF5333">
        <w:t xml:space="preserve">, there are additional agencies responsible for ensuring that the provision of quality health services is guaranteed for different categories of </w:t>
      </w:r>
      <w:r w:rsidR="00C03EF0" w:rsidRPr="00BF5333">
        <w:t xml:space="preserve">humans and </w:t>
      </w:r>
      <w:r w:rsidR="00CF7213" w:rsidRPr="00BF5333">
        <w:t xml:space="preserve">animals. </w:t>
      </w:r>
      <w:r w:rsidR="00BA1782" w:rsidRPr="00BF5333">
        <w:t>Moreover, the $250 refund to Medicare beneficiaries reaching the Part D coverage gap</w:t>
      </w:r>
      <w:r w:rsidR="004E72AB" w:rsidRPr="00BF5333">
        <w:t xml:space="preserve"> is an i</w:t>
      </w:r>
      <w:r w:rsidR="0064429F" w:rsidRPr="00BF5333">
        <w:t>mportant example of a healthcare regulation. Through the regulation, individuals who had attained their limits could get a rebate an</w:t>
      </w:r>
      <w:r w:rsidR="004C27C5" w:rsidRPr="00BF5333">
        <w:t xml:space="preserve">d thus manage to enjoy the desired services without excessive straining, particularly due to the impact of the refund. </w:t>
      </w:r>
    </w:p>
    <w:p w:rsidR="001405FD" w:rsidRPr="00BF5333" w:rsidRDefault="001405FD" w:rsidP="00A46A4E">
      <w:pPr>
        <w:spacing w:line="480" w:lineRule="auto"/>
        <w:ind w:firstLine="720"/>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10F5E">
      <w:pPr>
        <w:spacing w:line="480" w:lineRule="auto"/>
        <w:contextualSpacing/>
      </w:pPr>
    </w:p>
    <w:p w:rsidR="001405FD" w:rsidRPr="00BF5333" w:rsidRDefault="001405FD" w:rsidP="001405FD">
      <w:pPr>
        <w:spacing w:line="480" w:lineRule="auto"/>
        <w:contextualSpacing/>
        <w:jc w:val="center"/>
      </w:pPr>
      <w:r w:rsidRPr="00BF5333">
        <w:lastRenderedPageBreak/>
        <w:t>References</w:t>
      </w:r>
    </w:p>
    <w:p w:rsidR="00D14839" w:rsidRPr="00BF5333" w:rsidRDefault="00D14839" w:rsidP="00894A1F">
      <w:pPr>
        <w:spacing w:line="480" w:lineRule="auto"/>
        <w:ind w:left="720" w:hanging="720"/>
        <w:contextualSpacing/>
      </w:pPr>
      <w:r w:rsidRPr="00BF5333">
        <w:t xml:space="preserve">Okrent, D. (2010). </w:t>
      </w:r>
      <w:r w:rsidRPr="00BF5333">
        <w:rPr>
          <w:i/>
        </w:rPr>
        <w:t>Implementing health reform: Federal rules &amp; State roles</w:t>
      </w:r>
      <w:r w:rsidRPr="00BF5333">
        <w:t xml:space="preserve"> (PDF). Retrieved from </w:t>
      </w:r>
      <w:hyperlink r:id="rId6" w:history="1">
        <w:r w:rsidRPr="00BF5333">
          <w:rPr>
            <w:rStyle w:val="Hyperlink"/>
            <w:color w:val="auto"/>
          </w:rPr>
          <w:t>http://www.allhealth.org/wp-content/uploads/2017/03/Implementing_Health_Reform_-_Federal_Rules_and_State_Roles_100.pdf</w:t>
        </w:r>
      </w:hyperlink>
    </w:p>
    <w:p w:rsidR="00D14839" w:rsidRPr="00BF5333" w:rsidRDefault="00D14839" w:rsidP="00894A1F">
      <w:pPr>
        <w:spacing w:line="480" w:lineRule="auto"/>
        <w:ind w:left="720" w:hanging="720"/>
        <w:contextualSpacing/>
      </w:pPr>
      <w:r w:rsidRPr="00BF5333">
        <w:t xml:space="preserve">Proto, J. (2017). </w:t>
      </w:r>
      <w:r w:rsidRPr="00BF5333">
        <w:rPr>
          <w:i/>
        </w:rPr>
        <w:t>Medicare Part D “Donut Hole”</w:t>
      </w:r>
      <w:r w:rsidRPr="00BF5333">
        <w:t xml:space="preserve">. Retrieved from </w:t>
      </w:r>
      <w:hyperlink r:id="rId7" w:history="1">
        <w:r w:rsidRPr="00BF5333">
          <w:rPr>
            <w:rStyle w:val="Hyperlink"/>
            <w:color w:val="auto"/>
          </w:rPr>
          <w:t>https://www.cga.ct.gov/2017/rpt/pdf/2017-R-0345.pdf</w:t>
        </w:r>
      </w:hyperlink>
    </w:p>
    <w:p w:rsidR="00D14839" w:rsidRPr="00BF5333" w:rsidRDefault="00D14839" w:rsidP="00894A1F">
      <w:pPr>
        <w:spacing w:line="480" w:lineRule="auto"/>
        <w:ind w:left="720" w:hanging="720"/>
        <w:contextualSpacing/>
      </w:pPr>
      <w:r w:rsidRPr="00BF5333">
        <w:rPr>
          <w:lang w:val="de-DE"/>
        </w:rPr>
        <w:t xml:space="preserve">Teitelbaum, J. B., &amp; Wilensky, S. E. (2015). </w:t>
      </w:r>
      <w:r w:rsidRPr="00BF5333">
        <w:rPr>
          <w:i/>
        </w:rPr>
        <w:t>Essentials of health policy and law</w:t>
      </w:r>
      <w:r w:rsidRPr="00BF5333">
        <w:t xml:space="preserve"> (3rd ed.). Burlington, MA: Jones &amp; Bartlett Learning.</w:t>
      </w:r>
    </w:p>
    <w:p w:rsidR="00DB1BAE" w:rsidRPr="00BF5333" w:rsidRDefault="005D3913" w:rsidP="00894A1F">
      <w:pPr>
        <w:spacing w:line="480" w:lineRule="auto"/>
        <w:ind w:left="720" w:hanging="720"/>
        <w:contextualSpacing/>
      </w:pPr>
      <w:r w:rsidRPr="00BF5333">
        <w:t xml:space="preserve"> </w:t>
      </w:r>
    </w:p>
    <w:p w:rsidR="00894A1F" w:rsidRPr="00BF5333" w:rsidRDefault="00894A1F" w:rsidP="00894A1F">
      <w:pPr>
        <w:spacing w:line="480" w:lineRule="auto"/>
        <w:ind w:left="720" w:hanging="720"/>
        <w:contextualSpacing/>
      </w:pPr>
    </w:p>
    <w:p w:rsidR="00454847" w:rsidRPr="00BF5333" w:rsidRDefault="00454847" w:rsidP="00894A1F">
      <w:pPr>
        <w:spacing w:line="480" w:lineRule="auto"/>
        <w:ind w:left="720" w:hanging="720"/>
        <w:contextualSpacing/>
      </w:pPr>
    </w:p>
    <w:sectPr w:rsidR="00454847" w:rsidRPr="00BF5333" w:rsidSect="002F03C3">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9EA" w:rsidRDefault="004D29EA" w:rsidP="007F6206">
      <w:pPr>
        <w:spacing w:after="0" w:line="240" w:lineRule="auto"/>
      </w:pPr>
      <w:r>
        <w:separator/>
      </w:r>
    </w:p>
  </w:endnote>
  <w:endnote w:type="continuationSeparator" w:id="1">
    <w:p w:rsidR="004D29EA" w:rsidRDefault="004D29EA" w:rsidP="007F6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9EA" w:rsidRDefault="004D29EA" w:rsidP="007F6206">
      <w:pPr>
        <w:spacing w:after="0" w:line="240" w:lineRule="auto"/>
      </w:pPr>
      <w:r>
        <w:separator/>
      </w:r>
    </w:p>
  </w:footnote>
  <w:footnote w:type="continuationSeparator" w:id="1">
    <w:p w:rsidR="004D29EA" w:rsidRDefault="004D29EA" w:rsidP="007F6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95281"/>
      <w:docPartObj>
        <w:docPartGallery w:val="Page Numbers (Top of Page)"/>
        <w:docPartUnique/>
      </w:docPartObj>
    </w:sdtPr>
    <w:sdtContent>
      <w:p w:rsidR="007F6206" w:rsidRDefault="002F03C3" w:rsidP="007F6206">
        <w:pPr>
          <w:pStyle w:val="Header"/>
        </w:pPr>
        <w:r>
          <w:t xml:space="preserve">HEALTH RELATED GOVERNMENT AGENCIES                                                       </w:t>
        </w:r>
        <w:fldSimple w:instr=" PAGE   \* MERGEFORMAT ">
          <w:r w:rsidR="00C849F7">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206" w:rsidRDefault="002F03C3">
    <w:pPr>
      <w:pStyle w:val="Header"/>
    </w:pPr>
    <w:r>
      <w:t xml:space="preserve">Running head: </w:t>
    </w:r>
    <w:r w:rsidRPr="002F03C3">
      <w:t>HEALTH RELATED GOVERNMENT AGENCIES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D1DA9"/>
    <w:rsid w:val="00003100"/>
    <w:rsid w:val="00030917"/>
    <w:rsid w:val="00033CBA"/>
    <w:rsid w:val="0004719E"/>
    <w:rsid w:val="000526BE"/>
    <w:rsid w:val="000560F9"/>
    <w:rsid w:val="0008191C"/>
    <w:rsid w:val="0009744F"/>
    <w:rsid w:val="000B5988"/>
    <w:rsid w:val="000C7E49"/>
    <w:rsid w:val="000D5F97"/>
    <w:rsid w:val="000E55FF"/>
    <w:rsid w:val="00110F5E"/>
    <w:rsid w:val="00116C44"/>
    <w:rsid w:val="00120AA4"/>
    <w:rsid w:val="00134E91"/>
    <w:rsid w:val="001405FD"/>
    <w:rsid w:val="0014229A"/>
    <w:rsid w:val="001A7457"/>
    <w:rsid w:val="001C0C6A"/>
    <w:rsid w:val="001D2DD9"/>
    <w:rsid w:val="002107F4"/>
    <w:rsid w:val="00214EBA"/>
    <w:rsid w:val="00227464"/>
    <w:rsid w:val="00281B2F"/>
    <w:rsid w:val="00284414"/>
    <w:rsid w:val="002949F2"/>
    <w:rsid w:val="002A13B0"/>
    <w:rsid w:val="002B0648"/>
    <w:rsid w:val="002B5F2A"/>
    <w:rsid w:val="002C1AF0"/>
    <w:rsid w:val="002C3022"/>
    <w:rsid w:val="002F03C3"/>
    <w:rsid w:val="002F57B5"/>
    <w:rsid w:val="003262A2"/>
    <w:rsid w:val="00342D67"/>
    <w:rsid w:val="003543FB"/>
    <w:rsid w:val="003642CC"/>
    <w:rsid w:val="00381E8A"/>
    <w:rsid w:val="00385D81"/>
    <w:rsid w:val="003934DA"/>
    <w:rsid w:val="003A64FB"/>
    <w:rsid w:val="003A77DB"/>
    <w:rsid w:val="003B5A83"/>
    <w:rsid w:val="003C1806"/>
    <w:rsid w:val="003D1DA9"/>
    <w:rsid w:val="00411309"/>
    <w:rsid w:val="004143B5"/>
    <w:rsid w:val="00437278"/>
    <w:rsid w:val="00454847"/>
    <w:rsid w:val="004726F5"/>
    <w:rsid w:val="00472E13"/>
    <w:rsid w:val="00481BCF"/>
    <w:rsid w:val="004C25C1"/>
    <w:rsid w:val="004C27C5"/>
    <w:rsid w:val="004D29EA"/>
    <w:rsid w:val="004D751E"/>
    <w:rsid w:val="004E660E"/>
    <w:rsid w:val="004E72AB"/>
    <w:rsid w:val="004F79FE"/>
    <w:rsid w:val="005332D6"/>
    <w:rsid w:val="00550B47"/>
    <w:rsid w:val="00553CB1"/>
    <w:rsid w:val="00557004"/>
    <w:rsid w:val="00563279"/>
    <w:rsid w:val="0056444C"/>
    <w:rsid w:val="00590D27"/>
    <w:rsid w:val="005A75EC"/>
    <w:rsid w:val="005B3220"/>
    <w:rsid w:val="005D3913"/>
    <w:rsid w:val="005F1B2B"/>
    <w:rsid w:val="005F3543"/>
    <w:rsid w:val="005F7AB7"/>
    <w:rsid w:val="00630A71"/>
    <w:rsid w:val="0064429F"/>
    <w:rsid w:val="00664546"/>
    <w:rsid w:val="00680C04"/>
    <w:rsid w:val="006C21BB"/>
    <w:rsid w:val="006C73CA"/>
    <w:rsid w:val="006F5F73"/>
    <w:rsid w:val="00704907"/>
    <w:rsid w:val="00724090"/>
    <w:rsid w:val="007309CE"/>
    <w:rsid w:val="0073229B"/>
    <w:rsid w:val="00736B52"/>
    <w:rsid w:val="007456E6"/>
    <w:rsid w:val="00751C78"/>
    <w:rsid w:val="0075382A"/>
    <w:rsid w:val="00761FC7"/>
    <w:rsid w:val="007977C6"/>
    <w:rsid w:val="007B483D"/>
    <w:rsid w:val="007B4F85"/>
    <w:rsid w:val="007C2FAC"/>
    <w:rsid w:val="007D0F98"/>
    <w:rsid w:val="007D53BD"/>
    <w:rsid w:val="007F6206"/>
    <w:rsid w:val="00801E70"/>
    <w:rsid w:val="00813AFD"/>
    <w:rsid w:val="008172F7"/>
    <w:rsid w:val="00871E7F"/>
    <w:rsid w:val="00877D0D"/>
    <w:rsid w:val="0088072B"/>
    <w:rsid w:val="0088261A"/>
    <w:rsid w:val="00894A1F"/>
    <w:rsid w:val="008B1C28"/>
    <w:rsid w:val="008E4DE9"/>
    <w:rsid w:val="008F2A37"/>
    <w:rsid w:val="008F552E"/>
    <w:rsid w:val="00914A93"/>
    <w:rsid w:val="009618A1"/>
    <w:rsid w:val="00967CAB"/>
    <w:rsid w:val="00972873"/>
    <w:rsid w:val="00A46A4E"/>
    <w:rsid w:val="00A47AB5"/>
    <w:rsid w:val="00A62CEA"/>
    <w:rsid w:val="00A709C2"/>
    <w:rsid w:val="00A7706B"/>
    <w:rsid w:val="00A94CD5"/>
    <w:rsid w:val="00AB1398"/>
    <w:rsid w:val="00AD37C2"/>
    <w:rsid w:val="00AF183D"/>
    <w:rsid w:val="00B118D5"/>
    <w:rsid w:val="00B60CE8"/>
    <w:rsid w:val="00B63009"/>
    <w:rsid w:val="00B73915"/>
    <w:rsid w:val="00BA1782"/>
    <w:rsid w:val="00BE68C1"/>
    <w:rsid w:val="00BF5333"/>
    <w:rsid w:val="00C0086C"/>
    <w:rsid w:val="00C03EF0"/>
    <w:rsid w:val="00C06E29"/>
    <w:rsid w:val="00C1273B"/>
    <w:rsid w:val="00C24CA9"/>
    <w:rsid w:val="00C26461"/>
    <w:rsid w:val="00C35005"/>
    <w:rsid w:val="00C43B70"/>
    <w:rsid w:val="00C638D0"/>
    <w:rsid w:val="00C849F7"/>
    <w:rsid w:val="00C95D5F"/>
    <w:rsid w:val="00CA712A"/>
    <w:rsid w:val="00CB5673"/>
    <w:rsid w:val="00CE0BA7"/>
    <w:rsid w:val="00CF7213"/>
    <w:rsid w:val="00D01E38"/>
    <w:rsid w:val="00D02F3D"/>
    <w:rsid w:val="00D14839"/>
    <w:rsid w:val="00D178E7"/>
    <w:rsid w:val="00D17B0D"/>
    <w:rsid w:val="00D273AE"/>
    <w:rsid w:val="00D367AE"/>
    <w:rsid w:val="00D47AFB"/>
    <w:rsid w:val="00D677BA"/>
    <w:rsid w:val="00D777EA"/>
    <w:rsid w:val="00D960D8"/>
    <w:rsid w:val="00DA1683"/>
    <w:rsid w:val="00DB061C"/>
    <w:rsid w:val="00DB1BAE"/>
    <w:rsid w:val="00DB6340"/>
    <w:rsid w:val="00DD5624"/>
    <w:rsid w:val="00DE3430"/>
    <w:rsid w:val="00E1186A"/>
    <w:rsid w:val="00E41586"/>
    <w:rsid w:val="00E5639C"/>
    <w:rsid w:val="00E87D14"/>
    <w:rsid w:val="00E92C50"/>
    <w:rsid w:val="00E96909"/>
    <w:rsid w:val="00EC0B3D"/>
    <w:rsid w:val="00EF3582"/>
    <w:rsid w:val="00F17F69"/>
    <w:rsid w:val="00F64729"/>
    <w:rsid w:val="00F82081"/>
    <w:rsid w:val="00FA6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06"/>
  </w:style>
  <w:style w:type="paragraph" w:styleId="Footer">
    <w:name w:val="footer"/>
    <w:basedOn w:val="Normal"/>
    <w:link w:val="FooterChar"/>
    <w:uiPriority w:val="99"/>
    <w:semiHidden/>
    <w:unhideWhenUsed/>
    <w:rsid w:val="007F62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6206"/>
  </w:style>
  <w:style w:type="character" w:styleId="Hyperlink">
    <w:name w:val="Hyperlink"/>
    <w:basedOn w:val="DefaultParagraphFont"/>
    <w:uiPriority w:val="99"/>
    <w:unhideWhenUsed/>
    <w:rsid w:val="00DB1B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ga.ct.gov/2017/rpt/pdf/2017-R-03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health.org/wp-content/uploads/2017/03/Implementing_Health_Reform_-_Federal_Rules_and_State_Roles_100.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155</cp:revision>
  <dcterms:created xsi:type="dcterms:W3CDTF">2018-08-25T16:31:00Z</dcterms:created>
  <dcterms:modified xsi:type="dcterms:W3CDTF">2018-08-26T20:57:00Z</dcterms:modified>
</cp:coreProperties>
</file>