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E66" w:rsidRPr="00111E66" w:rsidRDefault="00111E66" w:rsidP="00111E66">
      <w:pPr>
        <w:spacing w:line="480" w:lineRule="auto"/>
        <w:rPr>
          <w:rFonts w:ascii="Times New Roman" w:hAnsi="Times New Roman" w:cs="Times New Roman"/>
          <w:sz w:val="24"/>
          <w:szCs w:val="24"/>
        </w:rPr>
      </w:pPr>
    </w:p>
    <w:p w:rsidR="00111E66" w:rsidRPr="00111E66" w:rsidRDefault="00111E66" w:rsidP="00111E66">
      <w:pPr>
        <w:spacing w:line="480" w:lineRule="auto"/>
        <w:rPr>
          <w:rFonts w:ascii="Times New Roman" w:hAnsi="Times New Roman" w:cs="Times New Roman"/>
          <w:sz w:val="24"/>
          <w:szCs w:val="24"/>
        </w:rPr>
      </w:pPr>
    </w:p>
    <w:p w:rsidR="00111E66" w:rsidRDefault="00111E66" w:rsidP="00111E66">
      <w:pPr>
        <w:spacing w:line="480" w:lineRule="auto"/>
        <w:rPr>
          <w:rFonts w:ascii="Times New Roman" w:hAnsi="Times New Roman" w:cs="Times New Roman"/>
          <w:sz w:val="24"/>
          <w:szCs w:val="24"/>
        </w:rPr>
      </w:pPr>
    </w:p>
    <w:p w:rsidR="00111E66" w:rsidRDefault="00111E66" w:rsidP="00111E66">
      <w:pPr>
        <w:spacing w:line="480" w:lineRule="auto"/>
        <w:jc w:val="center"/>
        <w:rPr>
          <w:rFonts w:ascii="Times New Roman" w:hAnsi="Times New Roman" w:cs="Times New Roman"/>
          <w:sz w:val="24"/>
          <w:szCs w:val="24"/>
        </w:rPr>
      </w:pPr>
    </w:p>
    <w:p w:rsidR="00111E66" w:rsidRDefault="00111E66" w:rsidP="00111E66">
      <w:pPr>
        <w:spacing w:line="480" w:lineRule="auto"/>
        <w:jc w:val="center"/>
        <w:rPr>
          <w:rFonts w:ascii="Times New Roman" w:hAnsi="Times New Roman" w:cs="Times New Roman"/>
          <w:sz w:val="24"/>
          <w:szCs w:val="24"/>
        </w:rPr>
      </w:pPr>
      <w:r>
        <w:rPr>
          <w:rFonts w:ascii="Times New Roman" w:hAnsi="Times New Roman" w:cs="Times New Roman"/>
          <w:sz w:val="24"/>
          <w:szCs w:val="24"/>
        </w:rPr>
        <w:t>Organizational Structure and Financial Model – David Jones Ltd</w:t>
      </w:r>
    </w:p>
    <w:p w:rsidR="00111E66" w:rsidRDefault="00111E66" w:rsidP="00111E66">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111E66" w:rsidRPr="00111E66" w:rsidRDefault="00111E66" w:rsidP="00111E6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111E66" w:rsidRDefault="00111E66" w:rsidP="00111E66">
      <w:pPr>
        <w:spacing w:line="480" w:lineRule="auto"/>
        <w:rPr>
          <w:rFonts w:ascii="Times New Roman" w:hAnsi="Times New Roman" w:cs="Times New Roman"/>
          <w:sz w:val="24"/>
          <w:szCs w:val="24"/>
        </w:rPr>
      </w:pPr>
    </w:p>
    <w:p w:rsidR="00111E66" w:rsidRDefault="00111E66" w:rsidP="00111E66">
      <w:pPr>
        <w:spacing w:line="480" w:lineRule="auto"/>
        <w:rPr>
          <w:rFonts w:ascii="Times New Roman" w:hAnsi="Times New Roman" w:cs="Times New Roman"/>
          <w:sz w:val="24"/>
          <w:szCs w:val="24"/>
        </w:rPr>
      </w:pPr>
    </w:p>
    <w:p w:rsidR="00111E66" w:rsidRDefault="00111E66" w:rsidP="00111E66">
      <w:pPr>
        <w:spacing w:line="480" w:lineRule="auto"/>
        <w:rPr>
          <w:rFonts w:ascii="Times New Roman" w:hAnsi="Times New Roman" w:cs="Times New Roman"/>
          <w:sz w:val="24"/>
          <w:szCs w:val="24"/>
        </w:rPr>
      </w:pPr>
    </w:p>
    <w:p w:rsidR="00111E66" w:rsidRDefault="00111E66" w:rsidP="00111E66">
      <w:pPr>
        <w:spacing w:line="480" w:lineRule="auto"/>
        <w:rPr>
          <w:rFonts w:ascii="Times New Roman" w:hAnsi="Times New Roman" w:cs="Times New Roman"/>
          <w:sz w:val="24"/>
          <w:szCs w:val="24"/>
        </w:rPr>
      </w:pPr>
    </w:p>
    <w:p w:rsidR="00111E66" w:rsidRDefault="00111E66" w:rsidP="00111E66">
      <w:pPr>
        <w:spacing w:line="480" w:lineRule="auto"/>
        <w:rPr>
          <w:rFonts w:ascii="Times New Roman" w:hAnsi="Times New Roman" w:cs="Times New Roman"/>
          <w:sz w:val="24"/>
          <w:szCs w:val="24"/>
        </w:rPr>
      </w:pPr>
    </w:p>
    <w:p w:rsidR="00111E66" w:rsidRDefault="00111E66" w:rsidP="00111E66">
      <w:pPr>
        <w:spacing w:line="480" w:lineRule="auto"/>
        <w:rPr>
          <w:rFonts w:ascii="Times New Roman" w:hAnsi="Times New Roman" w:cs="Times New Roman"/>
          <w:sz w:val="24"/>
          <w:szCs w:val="24"/>
        </w:rPr>
      </w:pPr>
    </w:p>
    <w:p w:rsidR="00111E66" w:rsidRDefault="00111E66" w:rsidP="00111E66">
      <w:pPr>
        <w:spacing w:line="480" w:lineRule="auto"/>
        <w:rPr>
          <w:rFonts w:ascii="Times New Roman" w:hAnsi="Times New Roman" w:cs="Times New Roman"/>
          <w:sz w:val="24"/>
          <w:szCs w:val="24"/>
        </w:rPr>
      </w:pPr>
    </w:p>
    <w:p w:rsidR="00111E66" w:rsidRDefault="00111E66" w:rsidP="00111E66">
      <w:pPr>
        <w:spacing w:line="480" w:lineRule="auto"/>
        <w:rPr>
          <w:rFonts w:ascii="Times New Roman" w:hAnsi="Times New Roman" w:cs="Times New Roman"/>
          <w:sz w:val="24"/>
          <w:szCs w:val="24"/>
        </w:rPr>
      </w:pPr>
    </w:p>
    <w:p w:rsidR="00111E66" w:rsidRDefault="00111E66" w:rsidP="00111E66">
      <w:pPr>
        <w:spacing w:line="480" w:lineRule="auto"/>
        <w:rPr>
          <w:rFonts w:ascii="Times New Roman" w:hAnsi="Times New Roman" w:cs="Times New Roman"/>
          <w:sz w:val="24"/>
          <w:szCs w:val="24"/>
        </w:rPr>
      </w:pPr>
    </w:p>
    <w:p w:rsidR="00111E66" w:rsidRDefault="00111E66" w:rsidP="00111E66">
      <w:pPr>
        <w:spacing w:line="480" w:lineRule="auto"/>
        <w:rPr>
          <w:rFonts w:ascii="Times New Roman" w:hAnsi="Times New Roman" w:cs="Times New Roman"/>
          <w:sz w:val="24"/>
          <w:szCs w:val="24"/>
        </w:rPr>
      </w:pPr>
    </w:p>
    <w:p w:rsidR="00E71C3E" w:rsidRPr="00111E66" w:rsidRDefault="00E71C3E" w:rsidP="00111E66">
      <w:pPr>
        <w:spacing w:line="480" w:lineRule="auto"/>
        <w:jc w:val="center"/>
        <w:rPr>
          <w:rFonts w:ascii="Times New Roman" w:hAnsi="Times New Roman" w:cs="Times New Roman"/>
          <w:b/>
          <w:sz w:val="24"/>
          <w:szCs w:val="24"/>
        </w:rPr>
      </w:pPr>
      <w:r w:rsidRPr="00111E66">
        <w:rPr>
          <w:rFonts w:ascii="Times New Roman" w:hAnsi="Times New Roman" w:cs="Times New Roman"/>
          <w:b/>
          <w:sz w:val="24"/>
          <w:szCs w:val="24"/>
        </w:rPr>
        <w:lastRenderedPageBreak/>
        <w:t>David Jones Organizational Structure</w:t>
      </w:r>
    </w:p>
    <w:p w:rsidR="00111E66" w:rsidRDefault="00E71C3E" w:rsidP="00111E66">
      <w:pPr>
        <w:spacing w:line="480" w:lineRule="auto"/>
        <w:ind w:firstLine="720"/>
        <w:rPr>
          <w:rFonts w:ascii="Times New Roman" w:hAnsi="Times New Roman" w:cs="Times New Roman"/>
          <w:sz w:val="24"/>
          <w:szCs w:val="24"/>
        </w:rPr>
      </w:pPr>
      <w:r w:rsidRPr="00111E66">
        <w:rPr>
          <w:rFonts w:ascii="Times New Roman" w:hAnsi="Times New Roman" w:cs="Times New Roman"/>
          <w:sz w:val="24"/>
          <w:szCs w:val="24"/>
        </w:rPr>
        <w:t>Founded in the year 1838, David Jones was one of the largest departments up market department store in Australia. However, the company was acquired by Woolworths Holdings Limited (a South African retail company) in the year 2014 ("Woolworths", 2016). David Jones was however, performing profitably before the acquisition despite high fluctuations of the company’s sales revenue attributable to the effectiveness of the company’s organizational structure (</w:t>
      </w:r>
      <w:proofErr w:type="spellStart"/>
      <w:r w:rsidRPr="00111E66">
        <w:rPr>
          <w:rFonts w:ascii="Times New Roman" w:hAnsi="Times New Roman" w:cs="Times New Roman"/>
          <w:sz w:val="24"/>
          <w:szCs w:val="24"/>
        </w:rPr>
        <w:t>Shabbir</w:t>
      </w:r>
      <w:proofErr w:type="spellEnd"/>
      <w:r w:rsidRPr="00111E66">
        <w:rPr>
          <w:rFonts w:ascii="Times New Roman" w:hAnsi="Times New Roman" w:cs="Times New Roman"/>
          <w:sz w:val="24"/>
          <w:szCs w:val="24"/>
        </w:rPr>
        <w:t xml:space="preserve">, 2017). The company utilized a functional organizational structure where each unit of the company such as sales and marketing, human resources, strategic planning, and finance units had specific roles in the organization. </w:t>
      </w:r>
    </w:p>
    <w:p w:rsidR="00E71C3E" w:rsidRPr="00111E66" w:rsidRDefault="00E71C3E" w:rsidP="00111E66">
      <w:pPr>
        <w:spacing w:line="480" w:lineRule="auto"/>
        <w:ind w:firstLine="720"/>
        <w:rPr>
          <w:rFonts w:ascii="Times New Roman" w:hAnsi="Times New Roman" w:cs="Times New Roman"/>
          <w:sz w:val="24"/>
          <w:szCs w:val="24"/>
        </w:rPr>
      </w:pPr>
      <w:r w:rsidRPr="00111E66">
        <w:rPr>
          <w:rFonts w:ascii="Times New Roman" w:hAnsi="Times New Roman" w:cs="Times New Roman"/>
          <w:sz w:val="24"/>
          <w:szCs w:val="24"/>
        </w:rPr>
        <w:t xml:space="preserve">According to various studies, an organizational structure has an influence of a firm’s financial performance. </w:t>
      </w:r>
      <w:proofErr w:type="gramStart"/>
      <w:r w:rsidRPr="00111E66">
        <w:rPr>
          <w:rFonts w:ascii="Times New Roman" w:hAnsi="Times New Roman" w:cs="Times New Roman"/>
          <w:sz w:val="24"/>
          <w:szCs w:val="24"/>
        </w:rPr>
        <w:t>a</w:t>
      </w:r>
      <w:proofErr w:type="gramEnd"/>
      <w:r w:rsidRPr="00111E66">
        <w:rPr>
          <w:rFonts w:ascii="Times New Roman" w:hAnsi="Times New Roman" w:cs="Times New Roman"/>
          <w:sz w:val="24"/>
          <w:szCs w:val="24"/>
        </w:rPr>
        <w:t xml:space="preserve"> functional structure of an organization is considered to significantly enhance specialization among employees and thus, results to high performance in the assigned role in an organization (</w:t>
      </w:r>
      <w:proofErr w:type="spellStart"/>
      <w:r w:rsidRPr="00111E66">
        <w:rPr>
          <w:rFonts w:ascii="Times New Roman" w:hAnsi="Times New Roman" w:cs="Times New Roman"/>
          <w:sz w:val="24"/>
          <w:szCs w:val="24"/>
        </w:rPr>
        <w:t>Awino</w:t>
      </w:r>
      <w:proofErr w:type="spellEnd"/>
      <w:r w:rsidRPr="00111E66">
        <w:rPr>
          <w:rFonts w:ascii="Times New Roman" w:hAnsi="Times New Roman" w:cs="Times New Roman"/>
          <w:sz w:val="24"/>
          <w:szCs w:val="24"/>
        </w:rPr>
        <w:t xml:space="preserve">, 2015). Therefore, David Jones organizational structure promoted specialization and employees gained expertise in their area of operations contributing to the overall positive performance of the company. Further, the functional structure of the company promoted inclusivity culture within the organization where employees’ contribution to the company’s process of making a decision was highly valued ("David Jones 2011 Annual Report", 2011). Inclusivity culture is considered to have a positive impact on employee motivation and thus, increase their productivity and consequently resulting to positive financial performance of an organization. </w:t>
      </w:r>
    </w:p>
    <w:p w:rsidR="00E71C3E" w:rsidRPr="00111E66" w:rsidRDefault="00E71C3E" w:rsidP="00111E66">
      <w:pPr>
        <w:spacing w:line="480" w:lineRule="auto"/>
        <w:ind w:firstLine="720"/>
        <w:rPr>
          <w:rFonts w:ascii="Times New Roman" w:hAnsi="Times New Roman" w:cs="Times New Roman"/>
          <w:sz w:val="24"/>
          <w:szCs w:val="24"/>
        </w:rPr>
      </w:pPr>
      <w:r w:rsidRPr="00111E66">
        <w:rPr>
          <w:rFonts w:ascii="Times New Roman" w:hAnsi="Times New Roman" w:cs="Times New Roman"/>
          <w:sz w:val="24"/>
          <w:szCs w:val="24"/>
        </w:rPr>
        <w:t>Strategic decision making process is also a major determinant of a firm’s performance (</w:t>
      </w:r>
      <w:proofErr w:type="spellStart"/>
      <w:r w:rsidRPr="00111E66">
        <w:rPr>
          <w:rFonts w:ascii="Times New Roman" w:hAnsi="Times New Roman" w:cs="Times New Roman"/>
          <w:sz w:val="24"/>
          <w:szCs w:val="24"/>
        </w:rPr>
        <w:t>Csaszar</w:t>
      </w:r>
      <w:proofErr w:type="spellEnd"/>
      <w:r w:rsidRPr="00111E66">
        <w:rPr>
          <w:rFonts w:ascii="Times New Roman" w:hAnsi="Times New Roman" w:cs="Times New Roman"/>
          <w:sz w:val="24"/>
          <w:szCs w:val="24"/>
        </w:rPr>
        <w:t xml:space="preserve">, 2011). The company’s aggressive expansion strategy is cited to be one of the primary </w:t>
      </w:r>
      <w:r w:rsidRPr="00111E66">
        <w:rPr>
          <w:rFonts w:ascii="Times New Roman" w:hAnsi="Times New Roman" w:cs="Times New Roman"/>
          <w:sz w:val="24"/>
          <w:szCs w:val="24"/>
        </w:rPr>
        <w:lastRenderedPageBreak/>
        <w:t>factors that caused poor performance of the company before acquisition. The company invested heavily in establishment of many stores and thus, affected the liquidity of the company and hence its overall performance. The aggressive expansion strategy can be considered as a result risk taking culture of the company’s management (</w:t>
      </w:r>
      <w:proofErr w:type="spellStart"/>
      <w:r w:rsidRPr="00111E66">
        <w:rPr>
          <w:rFonts w:ascii="Times New Roman" w:hAnsi="Times New Roman" w:cs="Times New Roman"/>
          <w:sz w:val="24"/>
          <w:szCs w:val="24"/>
        </w:rPr>
        <w:t>Llopis</w:t>
      </w:r>
      <w:proofErr w:type="spellEnd"/>
      <w:r w:rsidRPr="00111E66">
        <w:rPr>
          <w:rFonts w:ascii="Times New Roman" w:hAnsi="Times New Roman" w:cs="Times New Roman"/>
          <w:sz w:val="24"/>
          <w:szCs w:val="24"/>
        </w:rPr>
        <w:t xml:space="preserve">, 2013). </w:t>
      </w:r>
    </w:p>
    <w:p w:rsidR="00E71C3E" w:rsidRPr="00111E66" w:rsidRDefault="00E71C3E" w:rsidP="00111E66">
      <w:pPr>
        <w:spacing w:line="480" w:lineRule="auto"/>
        <w:jc w:val="center"/>
        <w:rPr>
          <w:rFonts w:ascii="Times New Roman" w:hAnsi="Times New Roman" w:cs="Times New Roman"/>
          <w:b/>
          <w:sz w:val="24"/>
          <w:szCs w:val="24"/>
        </w:rPr>
      </w:pPr>
      <w:r w:rsidRPr="00111E66">
        <w:rPr>
          <w:rFonts w:ascii="Times New Roman" w:hAnsi="Times New Roman" w:cs="Times New Roman"/>
          <w:b/>
          <w:sz w:val="24"/>
          <w:szCs w:val="24"/>
        </w:rPr>
        <w:t xml:space="preserve">Financial </w:t>
      </w:r>
      <w:r w:rsidR="00111E66" w:rsidRPr="00111E66">
        <w:rPr>
          <w:rFonts w:ascii="Times New Roman" w:hAnsi="Times New Roman" w:cs="Times New Roman"/>
          <w:b/>
          <w:sz w:val="24"/>
          <w:szCs w:val="24"/>
        </w:rPr>
        <w:t>Model of the Company</w:t>
      </w:r>
    </w:p>
    <w:p w:rsidR="00E71C3E" w:rsidRPr="00767A39" w:rsidRDefault="00767A39" w:rsidP="00111E66">
      <w:pPr>
        <w:spacing w:line="480" w:lineRule="auto"/>
        <w:rPr>
          <w:rFonts w:ascii="Times New Roman" w:hAnsi="Times New Roman" w:cs="Times New Roman"/>
          <w:b/>
          <w:sz w:val="24"/>
          <w:szCs w:val="24"/>
        </w:rPr>
      </w:pPr>
      <w:r w:rsidRPr="00767A39">
        <w:rPr>
          <w:rFonts w:ascii="Times New Roman" w:hAnsi="Times New Roman" w:cs="Times New Roman"/>
          <w:b/>
          <w:sz w:val="24"/>
          <w:szCs w:val="24"/>
        </w:rPr>
        <w:t>Management E</w:t>
      </w:r>
      <w:r w:rsidR="00E71C3E" w:rsidRPr="00767A39">
        <w:rPr>
          <w:rFonts w:ascii="Times New Roman" w:hAnsi="Times New Roman" w:cs="Times New Roman"/>
          <w:b/>
          <w:sz w:val="24"/>
          <w:szCs w:val="24"/>
        </w:rPr>
        <w:t xml:space="preserve">ffectiveness </w:t>
      </w:r>
    </w:p>
    <w:p w:rsidR="00E71C3E" w:rsidRPr="00111E66" w:rsidRDefault="00E71C3E" w:rsidP="00767A39">
      <w:pPr>
        <w:spacing w:line="480" w:lineRule="auto"/>
        <w:ind w:firstLine="720"/>
        <w:rPr>
          <w:rFonts w:ascii="Times New Roman" w:hAnsi="Times New Roman" w:cs="Times New Roman"/>
          <w:sz w:val="24"/>
          <w:szCs w:val="24"/>
        </w:rPr>
      </w:pPr>
      <w:r w:rsidRPr="00111E66">
        <w:rPr>
          <w:rFonts w:ascii="Times New Roman" w:hAnsi="Times New Roman" w:cs="Times New Roman"/>
          <w:sz w:val="24"/>
          <w:szCs w:val="24"/>
        </w:rPr>
        <w:t xml:space="preserve">The management effectiveness assesses the company’s ability to generate income with the utilization of the company’s resources. </w:t>
      </w:r>
    </w:p>
    <w:p w:rsidR="00E24341" w:rsidRPr="00767A39" w:rsidRDefault="00E24341" w:rsidP="00111E66">
      <w:pPr>
        <w:spacing w:line="480" w:lineRule="auto"/>
        <w:rPr>
          <w:rFonts w:ascii="Times New Roman" w:hAnsi="Times New Roman" w:cs="Times New Roman"/>
          <w:b/>
          <w:i/>
          <w:sz w:val="24"/>
          <w:szCs w:val="24"/>
        </w:rPr>
      </w:pPr>
      <w:r w:rsidRPr="00767A39">
        <w:rPr>
          <w:rFonts w:ascii="Times New Roman" w:hAnsi="Times New Roman" w:cs="Times New Roman"/>
          <w:b/>
          <w:i/>
          <w:sz w:val="24"/>
          <w:szCs w:val="24"/>
        </w:rPr>
        <w:t xml:space="preserve">Table 1: Management Effectiveness Ratios </w:t>
      </w:r>
    </w:p>
    <w:tbl>
      <w:tblPr>
        <w:tblW w:w="9927" w:type="dxa"/>
        <w:tblCellSpacing w:w="0" w:type="dxa"/>
        <w:shd w:val="clear" w:color="auto" w:fill="FFFFFF"/>
        <w:tblCellMar>
          <w:left w:w="0" w:type="dxa"/>
          <w:right w:w="0" w:type="dxa"/>
        </w:tblCellMar>
        <w:tblLook w:val="04A0"/>
      </w:tblPr>
      <w:tblGrid>
        <w:gridCol w:w="6175"/>
        <w:gridCol w:w="1876"/>
        <w:gridCol w:w="1876"/>
      </w:tblGrid>
      <w:tr w:rsidR="007432D1" w:rsidRPr="00111E66" w:rsidTr="00927176">
        <w:trPr>
          <w:trHeight w:val="276"/>
          <w:tblCellSpacing w:w="0" w:type="dxa"/>
        </w:trPr>
        <w:tc>
          <w:tcPr>
            <w:tcW w:w="3830" w:type="dxa"/>
            <w:tcBorders>
              <w:left w:val="nil"/>
              <w:bottom w:val="nil"/>
              <w:right w:val="nil"/>
            </w:tcBorders>
            <w:shd w:val="clear" w:color="auto" w:fill="FFFFFF"/>
            <w:tcMar>
              <w:top w:w="31" w:type="dxa"/>
              <w:left w:w="460" w:type="dxa"/>
              <w:bottom w:w="31" w:type="dxa"/>
              <w:right w:w="153" w:type="dxa"/>
            </w:tcMar>
            <w:vAlign w:val="center"/>
            <w:hideMark/>
          </w:tcPr>
          <w:p w:rsidR="007432D1" w:rsidRPr="00111E66" w:rsidRDefault="007432D1" w:rsidP="00111E66">
            <w:pPr>
              <w:spacing w:line="480" w:lineRule="auto"/>
              <w:rPr>
                <w:rFonts w:ascii="Times New Roman" w:hAnsi="Times New Roman" w:cs="Times New Roman"/>
                <w:sz w:val="24"/>
                <w:szCs w:val="24"/>
              </w:rPr>
            </w:pPr>
          </w:p>
        </w:tc>
        <w:tc>
          <w:tcPr>
            <w:tcW w:w="1164" w:type="dxa"/>
            <w:tcBorders>
              <w:left w:val="nil"/>
              <w:bottom w:val="nil"/>
              <w:right w:val="nil"/>
            </w:tcBorders>
            <w:shd w:val="clear" w:color="auto" w:fill="FFFFFF"/>
            <w:tcMar>
              <w:top w:w="31" w:type="dxa"/>
              <w:left w:w="0" w:type="dxa"/>
              <w:bottom w:w="31" w:type="dxa"/>
              <w:right w:w="153" w:type="dxa"/>
            </w:tcMar>
            <w:vAlign w:val="center"/>
            <w:hideMark/>
          </w:tcPr>
          <w:p w:rsidR="007432D1" w:rsidRPr="00767A39" w:rsidRDefault="007432D1" w:rsidP="00111E66">
            <w:pPr>
              <w:spacing w:line="480" w:lineRule="auto"/>
              <w:rPr>
                <w:rFonts w:ascii="Times New Roman" w:hAnsi="Times New Roman" w:cs="Times New Roman"/>
                <w:b/>
                <w:sz w:val="24"/>
                <w:szCs w:val="24"/>
              </w:rPr>
            </w:pPr>
            <w:r w:rsidRPr="00767A39">
              <w:rPr>
                <w:rFonts w:ascii="Times New Roman" w:hAnsi="Times New Roman" w:cs="Times New Roman"/>
                <w:b/>
                <w:sz w:val="24"/>
                <w:szCs w:val="24"/>
              </w:rPr>
              <w:t xml:space="preserve">Company </w:t>
            </w:r>
          </w:p>
        </w:tc>
        <w:tc>
          <w:tcPr>
            <w:tcW w:w="1164" w:type="dxa"/>
            <w:tcBorders>
              <w:left w:val="nil"/>
              <w:bottom w:val="nil"/>
              <w:right w:val="nil"/>
            </w:tcBorders>
            <w:shd w:val="clear" w:color="auto" w:fill="FFFFFF"/>
            <w:tcMar>
              <w:top w:w="31" w:type="dxa"/>
              <w:left w:w="0" w:type="dxa"/>
              <w:bottom w:w="31" w:type="dxa"/>
              <w:right w:w="153" w:type="dxa"/>
            </w:tcMar>
            <w:vAlign w:val="center"/>
            <w:hideMark/>
          </w:tcPr>
          <w:p w:rsidR="007432D1" w:rsidRPr="00767A39" w:rsidRDefault="007432D1" w:rsidP="00111E66">
            <w:pPr>
              <w:spacing w:line="480" w:lineRule="auto"/>
              <w:rPr>
                <w:rFonts w:ascii="Times New Roman" w:hAnsi="Times New Roman" w:cs="Times New Roman"/>
                <w:b/>
                <w:sz w:val="24"/>
                <w:szCs w:val="24"/>
              </w:rPr>
            </w:pPr>
            <w:r w:rsidRPr="00767A39">
              <w:rPr>
                <w:rFonts w:ascii="Times New Roman" w:hAnsi="Times New Roman" w:cs="Times New Roman"/>
                <w:b/>
                <w:sz w:val="24"/>
                <w:szCs w:val="24"/>
              </w:rPr>
              <w:t xml:space="preserve">Industry </w:t>
            </w:r>
          </w:p>
        </w:tc>
      </w:tr>
      <w:tr w:rsidR="00927176" w:rsidRPr="00111E66" w:rsidTr="00927176">
        <w:trPr>
          <w:trHeight w:val="276"/>
          <w:tblCellSpacing w:w="0" w:type="dxa"/>
        </w:trPr>
        <w:tc>
          <w:tcPr>
            <w:tcW w:w="3830" w:type="dxa"/>
            <w:tcBorders>
              <w:left w:val="nil"/>
              <w:bottom w:val="nil"/>
              <w:right w:val="nil"/>
            </w:tcBorders>
            <w:shd w:val="clear" w:color="auto" w:fill="FFFFFF"/>
            <w:tcMar>
              <w:top w:w="31" w:type="dxa"/>
              <w:left w:w="460" w:type="dxa"/>
              <w:bottom w:w="31" w:type="dxa"/>
              <w:right w:w="153" w:type="dxa"/>
            </w:tcMar>
            <w:vAlign w:val="center"/>
            <w:hideMark/>
          </w:tcPr>
          <w:p w:rsidR="00927176" w:rsidRPr="00111E66" w:rsidRDefault="00927176"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Return on Equity </w:t>
            </w:r>
            <w:r w:rsidR="00C1022A" w:rsidRPr="00111E66">
              <w:rPr>
                <w:rFonts w:ascii="Times New Roman" w:hAnsi="Times New Roman" w:cs="Times New Roman"/>
                <w:sz w:val="24"/>
                <w:szCs w:val="24"/>
              </w:rPr>
              <w:t>(Trailing 12 Months – TTM)</w:t>
            </w:r>
          </w:p>
        </w:tc>
        <w:tc>
          <w:tcPr>
            <w:tcW w:w="1164" w:type="dxa"/>
            <w:tcBorders>
              <w:left w:val="nil"/>
              <w:bottom w:val="nil"/>
              <w:right w:val="nil"/>
            </w:tcBorders>
            <w:shd w:val="clear" w:color="auto" w:fill="FFFFFF"/>
            <w:tcMar>
              <w:top w:w="31" w:type="dxa"/>
              <w:left w:w="0" w:type="dxa"/>
              <w:bottom w:w="31" w:type="dxa"/>
              <w:right w:w="153" w:type="dxa"/>
            </w:tcMar>
            <w:vAlign w:val="center"/>
            <w:hideMark/>
          </w:tcPr>
          <w:p w:rsidR="00927176" w:rsidRPr="00111E66" w:rsidRDefault="00927176"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11.04%</w:t>
            </w:r>
          </w:p>
        </w:tc>
        <w:tc>
          <w:tcPr>
            <w:tcW w:w="1164" w:type="dxa"/>
            <w:tcBorders>
              <w:left w:val="nil"/>
              <w:bottom w:val="nil"/>
              <w:right w:val="nil"/>
            </w:tcBorders>
            <w:shd w:val="clear" w:color="auto" w:fill="FFFFFF"/>
            <w:tcMar>
              <w:top w:w="31" w:type="dxa"/>
              <w:left w:w="0" w:type="dxa"/>
              <w:bottom w:w="31" w:type="dxa"/>
              <w:right w:w="153" w:type="dxa"/>
            </w:tcMar>
            <w:vAlign w:val="center"/>
            <w:hideMark/>
          </w:tcPr>
          <w:p w:rsidR="00927176" w:rsidRPr="00111E66" w:rsidRDefault="00927176"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9.84%</w:t>
            </w:r>
          </w:p>
        </w:tc>
      </w:tr>
      <w:tr w:rsidR="00927176" w:rsidRPr="00111E66" w:rsidTr="00927176">
        <w:trPr>
          <w:trHeight w:val="276"/>
          <w:tblCellSpacing w:w="0" w:type="dxa"/>
        </w:trPr>
        <w:tc>
          <w:tcPr>
            <w:tcW w:w="3830" w:type="dxa"/>
            <w:tcBorders>
              <w:left w:val="nil"/>
              <w:bottom w:val="nil"/>
              <w:right w:val="nil"/>
            </w:tcBorders>
            <w:shd w:val="clear" w:color="auto" w:fill="FFFFFF"/>
            <w:tcMar>
              <w:top w:w="31" w:type="dxa"/>
              <w:left w:w="460" w:type="dxa"/>
              <w:bottom w:w="31" w:type="dxa"/>
              <w:right w:w="153" w:type="dxa"/>
            </w:tcMar>
            <w:vAlign w:val="center"/>
            <w:hideMark/>
          </w:tcPr>
          <w:p w:rsidR="00927176" w:rsidRPr="00111E66" w:rsidRDefault="00927176"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Return on Equity 5YA</w:t>
            </w:r>
            <w:r w:rsidR="00C1022A" w:rsidRPr="00111E66">
              <w:rPr>
                <w:rFonts w:ascii="Times New Roman" w:hAnsi="Times New Roman" w:cs="Times New Roman"/>
                <w:sz w:val="24"/>
                <w:szCs w:val="24"/>
              </w:rPr>
              <w:t xml:space="preserve"> (Five Year Average – 5YA)</w:t>
            </w:r>
          </w:p>
        </w:tc>
        <w:tc>
          <w:tcPr>
            <w:tcW w:w="1164" w:type="dxa"/>
            <w:tcBorders>
              <w:left w:val="nil"/>
              <w:bottom w:val="nil"/>
              <w:right w:val="nil"/>
            </w:tcBorders>
            <w:shd w:val="clear" w:color="auto" w:fill="FFFFFF"/>
            <w:tcMar>
              <w:top w:w="31" w:type="dxa"/>
              <w:left w:w="0" w:type="dxa"/>
              <w:bottom w:w="31" w:type="dxa"/>
              <w:right w:w="153" w:type="dxa"/>
            </w:tcMar>
            <w:vAlign w:val="center"/>
            <w:hideMark/>
          </w:tcPr>
          <w:p w:rsidR="00927176" w:rsidRPr="00111E66" w:rsidRDefault="00927176"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18.69%</w:t>
            </w:r>
          </w:p>
        </w:tc>
        <w:tc>
          <w:tcPr>
            <w:tcW w:w="1164" w:type="dxa"/>
            <w:tcBorders>
              <w:left w:val="nil"/>
              <w:bottom w:val="nil"/>
              <w:right w:val="nil"/>
            </w:tcBorders>
            <w:shd w:val="clear" w:color="auto" w:fill="FFFFFF"/>
            <w:tcMar>
              <w:top w:w="31" w:type="dxa"/>
              <w:left w:w="0" w:type="dxa"/>
              <w:bottom w:w="31" w:type="dxa"/>
              <w:right w:w="153" w:type="dxa"/>
            </w:tcMar>
            <w:vAlign w:val="center"/>
            <w:hideMark/>
          </w:tcPr>
          <w:p w:rsidR="00927176" w:rsidRPr="00111E66" w:rsidRDefault="00927176"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8.26%</w:t>
            </w:r>
          </w:p>
        </w:tc>
      </w:tr>
      <w:tr w:rsidR="00927176" w:rsidRPr="00111E66" w:rsidTr="00927176">
        <w:trPr>
          <w:trHeight w:val="276"/>
          <w:tblCellSpacing w:w="0" w:type="dxa"/>
        </w:trPr>
        <w:tc>
          <w:tcPr>
            <w:tcW w:w="3830" w:type="dxa"/>
            <w:tcBorders>
              <w:left w:val="nil"/>
              <w:bottom w:val="nil"/>
              <w:right w:val="nil"/>
            </w:tcBorders>
            <w:shd w:val="clear" w:color="auto" w:fill="FFFFFF"/>
            <w:tcMar>
              <w:top w:w="31" w:type="dxa"/>
              <w:left w:w="460" w:type="dxa"/>
              <w:bottom w:w="31" w:type="dxa"/>
              <w:right w:w="153" w:type="dxa"/>
            </w:tcMar>
            <w:vAlign w:val="center"/>
            <w:hideMark/>
          </w:tcPr>
          <w:p w:rsidR="00927176" w:rsidRPr="00111E66" w:rsidRDefault="00927176"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Return on Assets TTM</w:t>
            </w:r>
          </w:p>
        </w:tc>
        <w:tc>
          <w:tcPr>
            <w:tcW w:w="1164" w:type="dxa"/>
            <w:tcBorders>
              <w:left w:val="nil"/>
              <w:bottom w:val="nil"/>
              <w:right w:val="nil"/>
            </w:tcBorders>
            <w:shd w:val="clear" w:color="auto" w:fill="FFFFFF"/>
            <w:tcMar>
              <w:top w:w="31" w:type="dxa"/>
              <w:left w:w="0" w:type="dxa"/>
              <w:bottom w:w="31" w:type="dxa"/>
              <w:right w:w="153" w:type="dxa"/>
            </w:tcMar>
            <w:vAlign w:val="center"/>
            <w:hideMark/>
          </w:tcPr>
          <w:p w:rsidR="00927176" w:rsidRPr="00111E66" w:rsidRDefault="00927176"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7.45%</w:t>
            </w:r>
          </w:p>
        </w:tc>
        <w:tc>
          <w:tcPr>
            <w:tcW w:w="1164" w:type="dxa"/>
            <w:tcBorders>
              <w:left w:val="nil"/>
              <w:bottom w:val="nil"/>
              <w:right w:val="nil"/>
            </w:tcBorders>
            <w:shd w:val="clear" w:color="auto" w:fill="FFFFFF"/>
            <w:tcMar>
              <w:top w:w="31" w:type="dxa"/>
              <w:left w:w="0" w:type="dxa"/>
              <w:bottom w:w="31" w:type="dxa"/>
              <w:right w:w="153" w:type="dxa"/>
            </w:tcMar>
            <w:vAlign w:val="center"/>
            <w:hideMark/>
          </w:tcPr>
          <w:p w:rsidR="00927176" w:rsidRPr="00111E66" w:rsidRDefault="00927176"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5.96%</w:t>
            </w:r>
          </w:p>
        </w:tc>
      </w:tr>
      <w:tr w:rsidR="00927176" w:rsidRPr="00111E66" w:rsidTr="00927176">
        <w:trPr>
          <w:trHeight w:val="276"/>
          <w:tblCellSpacing w:w="0" w:type="dxa"/>
        </w:trPr>
        <w:tc>
          <w:tcPr>
            <w:tcW w:w="3830" w:type="dxa"/>
            <w:tcBorders>
              <w:left w:val="nil"/>
              <w:bottom w:val="nil"/>
              <w:right w:val="nil"/>
            </w:tcBorders>
            <w:shd w:val="clear" w:color="auto" w:fill="FFFFFF"/>
            <w:tcMar>
              <w:top w:w="31" w:type="dxa"/>
              <w:left w:w="460" w:type="dxa"/>
              <w:bottom w:w="31" w:type="dxa"/>
              <w:right w:w="153" w:type="dxa"/>
            </w:tcMar>
            <w:vAlign w:val="center"/>
            <w:hideMark/>
          </w:tcPr>
          <w:p w:rsidR="00927176" w:rsidRPr="00111E66" w:rsidRDefault="00927176"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Return on Assets 5YA</w:t>
            </w:r>
          </w:p>
        </w:tc>
        <w:tc>
          <w:tcPr>
            <w:tcW w:w="1164" w:type="dxa"/>
            <w:tcBorders>
              <w:left w:val="nil"/>
              <w:bottom w:val="nil"/>
              <w:right w:val="nil"/>
            </w:tcBorders>
            <w:shd w:val="clear" w:color="auto" w:fill="FFFFFF"/>
            <w:tcMar>
              <w:top w:w="31" w:type="dxa"/>
              <w:left w:w="0" w:type="dxa"/>
              <w:bottom w:w="31" w:type="dxa"/>
              <w:right w:w="153" w:type="dxa"/>
            </w:tcMar>
            <w:vAlign w:val="center"/>
            <w:hideMark/>
          </w:tcPr>
          <w:p w:rsidR="00927176" w:rsidRPr="00111E66" w:rsidRDefault="00927176"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11.23%</w:t>
            </w:r>
          </w:p>
        </w:tc>
        <w:tc>
          <w:tcPr>
            <w:tcW w:w="1164" w:type="dxa"/>
            <w:tcBorders>
              <w:left w:val="nil"/>
              <w:bottom w:val="nil"/>
              <w:right w:val="nil"/>
            </w:tcBorders>
            <w:shd w:val="clear" w:color="auto" w:fill="FFFFFF"/>
            <w:tcMar>
              <w:top w:w="31" w:type="dxa"/>
              <w:left w:w="0" w:type="dxa"/>
              <w:bottom w:w="31" w:type="dxa"/>
              <w:right w:w="153" w:type="dxa"/>
            </w:tcMar>
            <w:vAlign w:val="center"/>
            <w:hideMark/>
          </w:tcPr>
          <w:p w:rsidR="00927176" w:rsidRPr="00111E66" w:rsidRDefault="00927176"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5.07%</w:t>
            </w:r>
          </w:p>
        </w:tc>
      </w:tr>
      <w:tr w:rsidR="00927176" w:rsidRPr="00111E66" w:rsidTr="00927176">
        <w:trPr>
          <w:trHeight w:val="276"/>
          <w:tblCellSpacing w:w="0" w:type="dxa"/>
        </w:trPr>
        <w:tc>
          <w:tcPr>
            <w:tcW w:w="3830" w:type="dxa"/>
            <w:tcBorders>
              <w:left w:val="nil"/>
              <w:bottom w:val="nil"/>
              <w:right w:val="nil"/>
            </w:tcBorders>
            <w:shd w:val="clear" w:color="auto" w:fill="FFFFFF"/>
            <w:tcMar>
              <w:top w:w="31" w:type="dxa"/>
              <w:left w:w="460" w:type="dxa"/>
              <w:bottom w:w="31" w:type="dxa"/>
              <w:right w:w="153" w:type="dxa"/>
            </w:tcMar>
            <w:vAlign w:val="center"/>
            <w:hideMark/>
          </w:tcPr>
          <w:p w:rsidR="00927176" w:rsidRPr="00111E66" w:rsidRDefault="00927176"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Return on Investment TTM</w:t>
            </w:r>
          </w:p>
        </w:tc>
        <w:tc>
          <w:tcPr>
            <w:tcW w:w="1164" w:type="dxa"/>
            <w:tcBorders>
              <w:left w:val="nil"/>
              <w:bottom w:val="nil"/>
              <w:right w:val="nil"/>
            </w:tcBorders>
            <w:shd w:val="clear" w:color="auto" w:fill="FFFFFF"/>
            <w:tcMar>
              <w:top w:w="31" w:type="dxa"/>
              <w:left w:w="0" w:type="dxa"/>
              <w:bottom w:w="31" w:type="dxa"/>
              <w:right w:w="153" w:type="dxa"/>
            </w:tcMar>
            <w:vAlign w:val="center"/>
            <w:hideMark/>
          </w:tcPr>
          <w:p w:rsidR="00927176" w:rsidRPr="00111E66" w:rsidRDefault="00927176"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10.17%</w:t>
            </w:r>
          </w:p>
        </w:tc>
        <w:tc>
          <w:tcPr>
            <w:tcW w:w="1164" w:type="dxa"/>
            <w:tcBorders>
              <w:left w:val="nil"/>
              <w:bottom w:val="nil"/>
              <w:right w:val="nil"/>
            </w:tcBorders>
            <w:shd w:val="clear" w:color="auto" w:fill="FFFFFF"/>
            <w:tcMar>
              <w:top w:w="31" w:type="dxa"/>
              <w:left w:w="0" w:type="dxa"/>
              <w:bottom w:w="31" w:type="dxa"/>
              <w:right w:w="153" w:type="dxa"/>
            </w:tcMar>
            <w:vAlign w:val="center"/>
            <w:hideMark/>
          </w:tcPr>
          <w:p w:rsidR="00927176" w:rsidRPr="00111E66" w:rsidRDefault="00927176"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8%</w:t>
            </w:r>
          </w:p>
        </w:tc>
      </w:tr>
      <w:tr w:rsidR="00927176" w:rsidRPr="00111E66" w:rsidTr="00927176">
        <w:trPr>
          <w:trHeight w:val="276"/>
          <w:tblCellSpacing w:w="0" w:type="dxa"/>
        </w:trPr>
        <w:tc>
          <w:tcPr>
            <w:tcW w:w="3830" w:type="dxa"/>
            <w:tcBorders>
              <w:left w:val="nil"/>
              <w:bottom w:val="nil"/>
              <w:right w:val="nil"/>
            </w:tcBorders>
            <w:shd w:val="clear" w:color="auto" w:fill="EDF4FA"/>
            <w:tcMar>
              <w:top w:w="31" w:type="dxa"/>
              <w:left w:w="460" w:type="dxa"/>
              <w:bottom w:w="31" w:type="dxa"/>
              <w:right w:w="153" w:type="dxa"/>
            </w:tcMar>
            <w:vAlign w:val="center"/>
            <w:hideMark/>
          </w:tcPr>
          <w:p w:rsidR="00927176" w:rsidRPr="00111E66" w:rsidRDefault="00927176"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Return on Investment 5YA</w:t>
            </w:r>
          </w:p>
        </w:tc>
        <w:tc>
          <w:tcPr>
            <w:tcW w:w="1164" w:type="dxa"/>
            <w:tcBorders>
              <w:left w:val="nil"/>
              <w:bottom w:val="nil"/>
              <w:right w:val="nil"/>
            </w:tcBorders>
            <w:shd w:val="clear" w:color="auto" w:fill="EDF4FA"/>
            <w:tcMar>
              <w:top w:w="31" w:type="dxa"/>
              <w:left w:w="0" w:type="dxa"/>
              <w:bottom w:w="31" w:type="dxa"/>
              <w:right w:w="153" w:type="dxa"/>
            </w:tcMar>
            <w:vAlign w:val="center"/>
            <w:hideMark/>
          </w:tcPr>
          <w:p w:rsidR="00927176" w:rsidRPr="00111E66" w:rsidRDefault="00927176"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15.32%</w:t>
            </w:r>
          </w:p>
        </w:tc>
        <w:tc>
          <w:tcPr>
            <w:tcW w:w="1164" w:type="dxa"/>
            <w:tcBorders>
              <w:left w:val="nil"/>
              <w:bottom w:val="nil"/>
              <w:right w:val="nil"/>
            </w:tcBorders>
            <w:shd w:val="clear" w:color="auto" w:fill="EDF4FA"/>
            <w:tcMar>
              <w:top w:w="31" w:type="dxa"/>
              <w:left w:w="0" w:type="dxa"/>
              <w:bottom w:w="31" w:type="dxa"/>
              <w:right w:w="153" w:type="dxa"/>
            </w:tcMar>
            <w:vAlign w:val="center"/>
            <w:hideMark/>
          </w:tcPr>
          <w:p w:rsidR="00927176" w:rsidRPr="00111E66" w:rsidRDefault="00927176"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6.59%</w:t>
            </w:r>
          </w:p>
        </w:tc>
      </w:tr>
    </w:tbl>
    <w:p w:rsidR="00E24341" w:rsidRPr="00111E66" w:rsidRDefault="002B16EA" w:rsidP="00767A39">
      <w:pPr>
        <w:spacing w:line="240" w:lineRule="auto"/>
        <w:rPr>
          <w:rFonts w:ascii="Times New Roman" w:hAnsi="Times New Roman" w:cs="Times New Roman"/>
          <w:sz w:val="24"/>
          <w:szCs w:val="24"/>
        </w:rPr>
      </w:pPr>
      <w:r w:rsidRPr="00111E66">
        <w:rPr>
          <w:rFonts w:ascii="Times New Roman" w:hAnsi="Times New Roman" w:cs="Times New Roman"/>
          <w:sz w:val="24"/>
          <w:szCs w:val="24"/>
        </w:rPr>
        <w:t>Source: David Jones Management Effectiveness Ratios</w:t>
      </w:r>
      <w:r w:rsidR="00BD7BAB" w:rsidRPr="00111E66">
        <w:rPr>
          <w:rFonts w:ascii="Times New Roman" w:hAnsi="Times New Roman" w:cs="Times New Roman"/>
          <w:sz w:val="24"/>
          <w:szCs w:val="24"/>
        </w:rPr>
        <w:t xml:space="preserve"> in </w:t>
      </w:r>
      <w:r w:rsidR="00485D46" w:rsidRPr="00111E66">
        <w:rPr>
          <w:rFonts w:ascii="Times New Roman" w:hAnsi="Times New Roman" w:cs="Times New Roman"/>
          <w:sz w:val="24"/>
          <w:szCs w:val="24"/>
        </w:rPr>
        <w:t>P</w:t>
      </w:r>
      <w:r w:rsidR="00BD7BAB" w:rsidRPr="00111E66">
        <w:rPr>
          <w:rFonts w:ascii="Times New Roman" w:hAnsi="Times New Roman" w:cs="Times New Roman"/>
          <w:sz w:val="24"/>
          <w:szCs w:val="24"/>
        </w:rPr>
        <w:t>ercentages</w:t>
      </w:r>
      <w:r w:rsidR="00485D46" w:rsidRPr="00111E66">
        <w:rPr>
          <w:rFonts w:ascii="Times New Roman" w:hAnsi="Times New Roman" w:cs="Times New Roman"/>
          <w:sz w:val="24"/>
          <w:szCs w:val="24"/>
        </w:rPr>
        <w:t xml:space="preserve"> </w:t>
      </w:r>
      <w:r w:rsidR="002679FE" w:rsidRPr="00111E66">
        <w:rPr>
          <w:rFonts w:ascii="Times New Roman" w:hAnsi="Times New Roman" w:cs="Times New Roman"/>
          <w:sz w:val="24"/>
          <w:szCs w:val="24"/>
        </w:rPr>
        <w:t xml:space="preserve">in Comparison with Industry’s average </w:t>
      </w:r>
      <w:r w:rsidR="00485D46" w:rsidRPr="00111E66">
        <w:rPr>
          <w:rFonts w:ascii="Times New Roman" w:hAnsi="Times New Roman" w:cs="Times New Roman"/>
          <w:sz w:val="24"/>
          <w:szCs w:val="24"/>
        </w:rPr>
        <w:t>between Y</w:t>
      </w:r>
      <w:r w:rsidR="00BD7BAB" w:rsidRPr="00111E66">
        <w:rPr>
          <w:rFonts w:ascii="Times New Roman" w:hAnsi="Times New Roman" w:cs="Times New Roman"/>
          <w:sz w:val="24"/>
          <w:szCs w:val="24"/>
        </w:rPr>
        <w:t>ear</w:t>
      </w:r>
      <w:r w:rsidR="00485D46" w:rsidRPr="00111E66">
        <w:rPr>
          <w:rFonts w:ascii="Times New Roman" w:hAnsi="Times New Roman" w:cs="Times New Roman"/>
          <w:sz w:val="24"/>
          <w:szCs w:val="24"/>
        </w:rPr>
        <w:t>s</w:t>
      </w:r>
      <w:r w:rsidR="00BD7BAB" w:rsidRPr="00111E66">
        <w:rPr>
          <w:rFonts w:ascii="Times New Roman" w:hAnsi="Times New Roman" w:cs="Times New Roman"/>
          <w:sz w:val="24"/>
          <w:szCs w:val="24"/>
        </w:rPr>
        <w:t xml:space="preserve"> 2010 and </w:t>
      </w:r>
      <w:r w:rsidR="00485D46" w:rsidRPr="00111E66">
        <w:rPr>
          <w:rFonts w:ascii="Times New Roman" w:hAnsi="Times New Roman" w:cs="Times New Roman"/>
          <w:sz w:val="24"/>
          <w:szCs w:val="24"/>
        </w:rPr>
        <w:t xml:space="preserve">2014. </w:t>
      </w:r>
      <w:proofErr w:type="gramStart"/>
      <w:r w:rsidR="00485D46" w:rsidRPr="00111E66">
        <w:rPr>
          <w:rFonts w:ascii="Times New Roman" w:hAnsi="Times New Roman" w:cs="Times New Roman"/>
          <w:sz w:val="24"/>
          <w:szCs w:val="24"/>
        </w:rPr>
        <w:t xml:space="preserve">Retrieved from </w:t>
      </w:r>
      <w:hyperlink r:id="rId6" w:history="1">
        <w:r w:rsidR="00485D46" w:rsidRPr="00111E66">
          <w:rPr>
            <w:rStyle w:val="Hyperlink"/>
            <w:rFonts w:ascii="Times New Roman" w:hAnsi="Times New Roman" w:cs="Times New Roman"/>
            <w:sz w:val="24"/>
            <w:szCs w:val="24"/>
          </w:rPr>
          <w:t>https://au.investing.com/equities/d-jones-ltd-ratios</w:t>
        </w:r>
      </w:hyperlink>
      <w:r w:rsidR="00485D46" w:rsidRPr="00111E66">
        <w:rPr>
          <w:rFonts w:ascii="Times New Roman" w:hAnsi="Times New Roman" w:cs="Times New Roman"/>
          <w:sz w:val="24"/>
          <w:szCs w:val="24"/>
        </w:rPr>
        <w:t>.</w:t>
      </w:r>
      <w:proofErr w:type="gramEnd"/>
      <w:r w:rsidR="00485D46" w:rsidRPr="00111E66">
        <w:rPr>
          <w:rFonts w:ascii="Times New Roman" w:hAnsi="Times New Roman" w:cs="Times New Roman"/>
          <w:sz w:val="24"/>
          <w:szCs w:val="24"/>
        </w:rPr>
        <w:t xml:space="preserve"> </w:t>
      </w:r>
    </w:p>
    <w:p w:rsidR="008109E6" w:rsidRPr="00111E66" w:rsidRDefault="008109E6" w:rsidP="00767A39">
      <w:pPr>
        <w:spacing w:line="480" w:lineRule="auto"/>
        <w:ind w:firstLine="720"/>
        <w:rPr>
          <w:rFonts w:ascii="Times New Roman" w:hAnsi="Times New Roman" w:cs="Times New Roman"/>
          <w:sz w:val="24"/>
          <w:szCs w:val="24"/>
        </w:rPr>
      </w:pPr>
      <w:r w:rsidRPr="00111E66">
        <w:rPr>
          <w:rFonts w:ascii="Times New Roman" w:hAnsi="Times New Roman" w:cs="Times New Roman"/>
          <w:sz w:val="24"/>
          <w:szCs w:val="24"/>
        </w:rPr>
        <w:lastRenderedPageBreak/>
        <w:t xml:space="preserve">The management effectiveness data illustrates that the company was effective in utilizing the company’s resources such as equity, assets, and investment. David Jones effectiveness metrics were way above the industry average for the period between the year 2010 and the year 2014 before the acquisition. </w:t>
      </w:r>
    </w:p>
    <w:p w:rsidR="008109E6" w:rsidRPr="00767A39" w:rsidRDefault="00767A39" w:rsidP="00111E66">
      <w:pPr>
        <w:spacing w:line="480" w:lineRule="auto"/>
        <w:rPr>
          <w:rFonts w:ascii="Times New Roman" w:hAnsi="Times New Roman" w:cs="Times New Roman"/>
          <w:b/>
          <w:sz w:val="24"/>
          <w:szCs w:val="24"/>
        </w:rPr>
      </w:pPr>
      <w:r w:rsidRPr="00767A39">
        <w:rPr>
          <w:rFonts w:ascii="Times New Roman" w:hAnsi="Times New Roman" w:cs="Times New Roman"/>
          <w:b/>
          <w:sz w:val="24"/>
          <w:szCs w:val="24"/>
        </w:rPr>
        <w:t>Profitability A</w:t>
      </w:r>
      <w:r w:rsidR="008109E6" w:rsidRPr="00767A39">
        <w:rPr>
          <w:rFonts w:ascii="Times New Roman" w:hAnsi="Times New Roman" w:cs="Times New Roman"/>
          <w:b/>
          <w:sz w:val="24"/>
          <w:szCs w:val="24"/>
        </w:rPr>
        <w:t xml:space="preserve">nalysis </w:t>
      </w:r>
    </w:p>
    <w:p w:rsidR="008109E6" w:rsidRPr="00111E66" w:rsidRDefault="008109E6" w:rsidP="00767A39">
      <w:pPr>
        <w:spacing w:line="480" w:lineRule="auto"/>
        <w:ind w:firstLine="720"/>
        <w:rPr>
          <w:rFonts w:ascii="Times New Roman" w:hAnsi="Times New Roman" w:cs="Times New Roman"/>
          <w:sz w:val="24"/>
          <w:szCs w:val="24"/>
        </w:rPr>
      </w:pPr>
      <w:r w:rsidRPr="00111E66">
        <w:rPr>
          <w:rFonts w:ascii="Times New Roman" w:hAnsi="Times New Roman" w:cs="Times New Roman"/>
          <w:sz w:val="24"/>
          <w:szCs w:val="24"/>
        </w:rPr>
        <w:t>The profitability of a company is subject to the effectiveness of the company’s ability to generate earnings through strategic decisions. Cost-effectiveness of a company is an essential tool in assessing a firm’s performance with an increase in the profitability indicating a positive performance while negative profitability illustrates an adverse performance of a business.</w:t>
      </w:r>
    </w:p>
    <w:p w:rsidR="007432D1" w:rsidRPr="00767A39" w:rsidRDefault="00485D46" w:rsidP="00111E66">
      <w:pPr>
        <w:spacing w:line="480" w:lineRule="auto"/>
        <w:rPr>
          <w:rFonts w:ascii="Times New Roman" w:hAnsi="Times New Roman" w:cs="Times New Roman"/>
          <w:b/>
          <w:i/>
          <w:sz w:val="24"/>
          <w:szCs w:val="24"/>
        </w:rPr>
      </w:pPr>
      <w:r w:rsidRPr="00767A39">
        <w:rPr>
          <w:rFonts w:ascii="Times New Roman" w:hAnsi="Times New Roman" w:cs="Times New Roman"/>
          <w:b/>
          <w:i/>
          <w:sz w:val="24"/>
          <w:szCs w:val="24"/>
        </w:rPr>
        <w:t xml:space="preserve">Table 2: David Jones Profitability Ratios </w:t>
      </w:r>
      <w:r w:rsidR="007432D1" w:rsidRPr="00767A39">
        <w:rPr>
          <w:rFonts w:ascii="Times New Roman" w:hAnsi="Times New Roman" w:cs="Times New Roman"/>
          <w:b/>
          <w:i/>
          <w:sz w:val="24"/>
          <w:szCs w:val="24"/>
        </w:rPr>
        <w:tab/>
      </w:r>
      <w:r w:rsidR="007432D1" w:rsidRPr="00767A39">
        <w:rPr>
          <w:rFonts w:ascii="Times New Roman" w:hAnsi="Times New Roman" w:cs="Times New Roman"/>
          <w:b/>
          <w:i/>
          <w:sz w:val="24"/>
          <w:szCs w:val="24"/>
        </w:rPr>
        <w:tab/>
      </w:r>
      <w:r w:rsidR="007432D1" w:rsidRPr="00767A39">
        <w:rPr>
          <w:rFonts w:ascii="Times New Roman" w:hAnsi="Times New Roman" w:cs="Times New Roman"/>
          <w:b/>
          <w:i/>
          <w:sz w:val="24"/>
          <w:szCs w:val="24"/>
        </w:rPr>
        <w:tab/>
      </w:r>
      <w:r w:rsidR="007432D1" w:rsidRPr="00767A39">
        <w:rPr>
          <w:rFonts w:ascii="Times New Roman" w:hAnsi="Times New Roman" w:cs="Times New Roman"/>
          <w:b/>
          <w:i/>
          <w:sz w:val="24"/>
          <w:szCs w:val="24"/>
        </w:rPr>
        <w:tab/>
      </w:r>
      <w:r w:rsidR="007432D1" w:rsidRPr="00767A39">
        <w:rPr>
          <w:rFonts w:ascii="Times New Roman" w:hAnsi="Times New Roman" w:cs="Times New Roman"/>
          <w:b/>
          <w:i/>
          <w:sz w:val="24"/>
          <w:szCs w:val="24"/>
        </w:rPr>
        <w:tab/>
      </w:r>
      <w:r w:rsidR="007432D1" w:rsidRPr="00767A39">
        <w:rPr>
          <w:rFonts w:ascii="Times New Roman" w:hAnsi="Times New Roman" w:cs="Times New Roman"/>
          <w:b/>
          <w:i/>
          <w:sz w:val="24"/>
          <w:szCs w:val="24"/>
        </w:rPr>
        <w:tab/>
      </w:r>
      <w:r w:rsidR="007432D1" w:rsidRPr="00767A39">
        <w:rPr>
          <w:rFonts w:ascii="Times New Roman" w:hAnsi="Times New Roman" w:cs="Times New Roman"/>
          <w:b/>
          <w:i/>
          <w:sz w:val="24"/>
          <w:szCs w:val="24"/>
        </w:rPr>
        <w:tab/>
      </w:r>
      <w:r w:rsidR="007432D1" w:rsidRPr="00767A39">
        <w:rPr>
          <w:rFonts w:ascii="Times New Roman" w:hAnsi="Times New Roman" w:cs="Times New Roman"/>
          <w:b/>
          <w:i/>
          <w:sz w:val="24"/>
          <w:szCs w:val="24"/>
        </w:rPr>
        <w:tab/>
      </w:r>
      <w:r w:rsidR="007432D1" w:rsidRPr="00767A39">
        <w:rPr>
          <w:rFonts w:ascii="Times New Roman" w:hAnsi="Times New Roman" w:cs="Times New Roman"/>
          <w:b/>
          <w:i/>
          <w:sz w:val="24"/>
          <w:szCs w:val="24"/>
        </w:rPr>
        <w:tab/>
      </w:r>
      <w:r w:rsidR="007432D1" w:rsidRPr="00767A39">
        <w:rPr>
          <w:rFonts w:ascii="Times New Roman" w:hAnsi="Times New Roman" w:cs="Times New Roman"/>
          <w:b/>
          <w:i/>
          <w:sz w:val="24"/>
          <w:szCs w:val="24"/>
        </w:rPr>
        <w:tab/>
        <w:t xml:space="preserve"> </w:t>
      </w:r>
    </w:p>
    <w:tbl>
      <w:tblPr>
        <w:tblW w:w="9720" w:type="dxa"/>
        <w:tblCellSpacing w:w="0" w:type="dxa"/>
        <w:shd w:val="clear" w:color="auto" w:fill="FFFFFF"/>
        <w:tblCellMar>
          <w:left w:w="0" w:type="dxa"/>
          <w:right w:w="0" w:type="dxa"/>
        </w:tblCellMar>
        <w:tblLook w:val="04A0"/>
      </w:tblPr>
      <w:tblGrid>
        <w:gridCol w:w="6044"/>
        <w:gridCol w:w="1838"/>
        <w:gridCol w:w="1838"/>
      </w:tblGrid>
      <w:tr w:rsidR="007432D1" w:rsidRPr="00111E66" w:rsidTr="007B736F">
        <w:trPr>
          <w:trHeight w:val="270"/>
          <w:tblCellSpacing w:w="0" w:type="dxa"/>
        </w:trPr>
        <w:tc>
          <w:tcPr>
            <w:tcW w:w="3750" w:type="dxa"/>
            <w:tcBorders>
              <w:left w:val="nil"/>
              <w:bottom w:val="nil"/>
              <w:right w:val="nil"/>
            </w:tcBorders>
            <w:shd w:val="clear" w:color="auto" w:fill="FFFFFF"/>
            <w:tcMar>
              <w:top w:w="30" w:type="dxa"/>
              <w:left w:w="450" w:type="dxa"/>
              <w:bottom w:w="30" w:type="dxa"/>
              <w:right w:w="150" w:type="dxa"/>
            </w:tcMar>
            <w:vAlign w:val="center"/>
            <w:hideMark/>
          </w:tcPr>
          <w:p w:rsidR="007432D1" w:rsidRPr="00111E66" w:rsidRDefault="007432D1" w:rsidP="00111E66">
            <w:pPr>
              <w:spacing w:line="480" w:lineRule="auto"/>
              <w:rPr>
                <w:rFonts w:ascii="Times New Roman" w:hAnsi="Times New Roman" w:cs="Times New Roman"/>
                <w:sz w:val="24"/>
                <w:szCs w:val="24"/>
              </w:rPr>
            </w:pPr>
          </w:p>
        </w:tc>
        <w:tc>
          <w:tcPr>
            <w:tcW w:w="1140" w:type="dxa"/>
            <w:tcBorders>
              <w:left w:val="nil"/>
              <w:bottom w:val="nil"/>
              <w:right w:val="nil"/>
            </w:tcBorders>
            <w:shd w:val="clear" w:color="auto" w:fill="FFFFFF"/>
            <w:tcMar>
              <w:top w:w="30" w:type="dxa"/>
              <w:left w:w="0" w:type="dxa"/>
              <w:bottom w:w="30" w:type="dxa"/>
              <w:right w:w="150" w:type="dxa"/>
            </w:tcMar>
            <w:vAlign w:val="center"/>
            <w:hideMark/>
          </w:tcPr>
          <w:p w:rsidR="007432D1" w:rsidRPr="00111E66" w:rsidRDefault="007432D1"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 xml:space="preserve">Company </w:t>
            </w:r>
          </w:p>
        </w:tc>
        <w:tc>
          <w:tcPr>
            <w:tcW w:w="1140" w:type="dxa"/>
            <w:tcBorders>
              <w:left w:val="nil"/>
              <w:bottom w:val="nil"/>
              <w:right w:val="nil"/>
            </w:tcBorders>
            <w:shd w:val="clear" w:color="auto" w:fill="FFFFFF"/>
            <w:tcMar>
              <w:top w:w="30" w:type="dxa"/>
              <w:left w:w="0" w:type="dxa"/>
              <w:bottom w:w="30" w:type="dxa"/>
              <w:right w:w="150" w:type="dxa"/>
            </w:tcMar>
            <w:vAlign w:val="center"/>
            <w:hideMark/>
          </w:tcPr>
          <w:p w:rsidR="007432D1" w:rsidRPr="00111E66" w:rsidRDefault="007432D1"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Industry</w:t>
            </w:r>
          </w:p>
        </w:tc>
      </w:tr>
      <w:tr w:rsidR="007B736F" w:rsidRPr="00111E66" w:rsidTr="007B736F">
        <w:trPr>
          <w:trHeight w:val="270"/>
          <w:tblCellSpacing w:w="0" w:type="dxa"/>
        </w:trPr>
        <w:tc>
          <w:tcPr>
            <w:tcW w:w="3750" w:type="dxa"/>
            <w:tcBorders>
              <w:left w:val="nil"/>
              <w:bottom w:val="nil"/>
              <w:right w:val="nil"/>
            </w:tcBorders>
            <w:shd w:val="clear" w:color="auto" w:fill="FFFFFF"/>
            <w:tcMar>
              <w:top w:w="30" w:type="dxa"/>
              <w:left w:w="450" w:type="dxa"/>
              <w:bottom w:w="30" w:type="dxa"/>
              <w:right w:w="150" w:type="dxa"/>
            </w:tcMar>
            <w:vAlign w:val="center"/>
            <w:hideMark/>
          </w:tcPr>
          <w:p w:rsidR="007B736F" w:rsidRPr="00111E66" w:rsidRDefault="007B736F"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Gross margin TTM</w:t>
            </w:r>
          </w:p>
        </w:tc>
        <w:tc>
          <w:tcPr>
            <w:tcW w:w="1140" w:type="dxa"/>
            <w:tcBorders>
              <w:left w:val="nil"/>
              <w:bottom w:val="nil"/>
              <w:right w:val="nil"/>
            </w:tcBorders>
            <w:shd w:val="clear" w:color="auto" w:fill="FFFFFF"/>
            <w:tcMar>
              <w:top w:w="30" w:type="dxa"/>
              <w:left w:w="0" w:type="dxa"/>
              <w:bottom w:w="30" w:type="dxa"/>
              <w:right w:w="150" w:type="dxa"/>
            </w:tcMar>
            <w:vAlign w:val="center"/>
            <w:hideMark/>
          </w:tcPr>
          <w:p w:rsidR="007B736F" w:rsidRPr="00111E66" w:rsidRDefault="007B736F"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38.15%</w:t>
            </w:r>
          </w:p>
        </w:tc>
        <w:tc>
          <w:tcPr>
            <w:tcW w:w="1140" w:type="dxa"/>
            <w:tcBorders>
              <w:left w:val="nil"/>
              <w:bottom w:val="nil"/>
              <w:right w:val="nil"/>
            </w:tcBorders>
            <w:shd w:val="clear" w:color="auto" w:fill="FFFFFF"/>
            <w:tcMar>
              <w:top w:w="30" w:type="dxa"/>
              <w:left w:w="0" w:type="dxa"/>
              <w:bottom w:w="30" w:type="dxa"/>
              <w:right w:w="150" w:type="dxa"/>
            </w:tcMar>
            <w:vAlign w:val="center"/>
            <w:hideMark/>
          </w:tcPr>
          <w:p w:rsidR="007B736F" w:rsidRPr="00111E66" w:rsidRDefault="007B736F"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31.14%</w:t>
            </w:r>
          </w:p>
        </w:tc>
      </w:tr>
      <w:tr w:rsidR="007B736F" w:rsidRPr="00111E66" w:rsidTr="007B736F">
        <w:trPr>
          <w:trHeight w:val="270"/>
          <w:tblCellSpacing w:w="0" w:type="dxa"/>
        </w:trPr>
        <w:tc>
          <w:tcPr>
            <w:tcW w:w="3750" w:type="dxa"/>
            <w:tcBorders>
              <w:left w:val="nil"/>
              <w:bottom w:val="nil"/>
              <w:right w:val="nil"/>
            </w:tcBorders>
            <w:shd w:val="clear" w:color="auto" w:fill="FFFFFF"/>
            <w:tcMar>
              <w:top w:w="30" w:type="dxa"/>
              <w:left w:w="450" w:type="dxa"/>
              <w:bottom w:w="30" w:type="dxa"/>
              <w:right w:w="150" w:type="dxa"/>
            </w:tcMar>
            <w:vAlign w:val="center"/>
            <w:hideMark/>
          </w:tcPr>
          <w:p w:rsidR="007B736F" w:rsidRPr="00111E66" w:rsidRDefault="007B736F"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Gross Margin 5YA</w:t>
            </w:r>
          </w:p>
        </w:tc>
        <w:tc>
          <w:tcPr>
            <w:tcW w:w="1140" w:type="dxa"/>
            <w:tcBorders>
              <w:left w:val="nil"/>
              <w:bottom w:val="nil"/>
              <w:right w:val="nil"/>
            </w:tcBorders>
            <w:shd w:val="clear" w:color="auto" w:fill="FFFFFF"/>
            <w:tcMar>
              <w:top w:w="30" w:type="dxa"/>
              <w:left w:w="0" w:type="dxa"/>
              <w:bottom w:w="30" w:type="dxa"/>
              <w:right w:w="150" w:type="dxa"/>
            </w:tcMar>
            <w:vAlign w:val="center"/>
            <w:hideMark/>
          </w:tcPr>
          <w:p w:rsidR="007B736F" w:rsidRPr="00111E66" w:rsidRDefault="007B736F"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38.77%</w:t>
            </w:r>
          </w:p>
        </w:tc>
        <w:tc>
          <w:tcPr>
            <w:tcW w:w="1140" w:type="dxa"/>
            <w:tcBorders>
              <w:left w:val="nil"/>
              <w:bottom w:val="nil"/>
              <w:right w:val="nil"/>
            </w:tcBorders>
            <w:shd w:val="clear" w:color="auto" w:fill="FFFFFF"/>
            <w:tcMar>
              <w:top w:w="30" w:type="dxa"/>
              <w:left w:w="0" w:type="dxa"/>
              <w:bottom w:w="30" w:type="dxa"/>
              <w:right w:w="150" w:type="dxa"/>
            </w:tcMar>
            <w:vAlign w:val="center"/>
            <w:hideMark/>
          </w:tcPr>
          <w:p w:rsidR="007B736F" w:rsidRPr="00111E66" w:rsidRDefault="007B736F"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32.36%</w:t>
            </w:r>
          </w:p>
        </w:tc>
      </w:tr>
      <w:tr w:rsidR="007B736F" w:rsidRPr="00111E66" w:rsidTr="007B736F">
        <w:trPr>
          <w:trHeight w:val="270"/>
          <w:tblCellSpacing w:w="0" w:type="dxa"/>
        </w:trPr>
        <w:tc>
          <w:tcPr>
            <w:tcW w:w="3750" w:type="dxa"/>
            <w:tcBorders>
              <w:left w:val="nil"/>
              <w:bottom w:val="nil"/>
              <w:right w:val="nil"/>
            </w:tcBorders>
            <w:shd w:val="clear" w:color="auto" w:fill="FFFFFF"/>
            <w:tcMar>
              <w:top w:w="30" w:type="dxa"/>
              <w:left w:w="450" w:type="dxa"/>
              <w:bottom w:w="30" w:type="dxa"/>
              <w:right w:w="150" w:type="dxa"/>
            </w:tcMar>
            <w:vAlign w:val="center"/>
            <w:hideMark/>
          </w:tcPr>
          <w:p w:rsidR="007B736F" w:rsidRPr="00111E66" w:rsidRDefault="007B736F"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Operating margin TTM</w:t>
            </w:r>
          </w:p>
        </w:tc>
        <w:tc>
          <w:tcPr>
            <w:tcW w:w="1140" w:type="dxa"/>
            <w:tcBorders>
              <w:left w:val="nil"/>
              <w:bottom w:val="nil"/>
              <w:right w:val="nil"/>
            </w:tcBorders>
            <w:shd w:val="clear" w:color="auto" w:fill="FFFFFF"/>
            <w:tcMar>
              <w:top w:w="30" w:type="dxa"/>
              <w:left w:w="0" w:type="dxa"/>
              <w:bottom w:w="30" w:type="dxa"/>
              <w:right w:w="150" w:type="dxa"/>
            </w:tcMar>
            <w:vAlign w:val="center"/>
            <w:hideMark/>
          </w:tcPr>
          <w:p w:rsidR="007B736F" w:rsidRPr="00111E66" w:rsidRDefault="007B736F"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6.79%</w:t>
            </w:r>
          </w:p>
        </w:tc>
        <w:tc>
          <w:tcPr>
            <w:tcW w:w="1140" w:type="dxa"/>
            <w:tcBorders>
              <w:left w:val="nil"/>
              <w:bottom w:val="nil"/>
              <w:right w:val="nil"/>
            </w:tcBorders>
            <w:shd w:val="clear" w:color="auto" w:fill="FFFFFF"/>
            <w:tcMar>
              <w:top w:w="30" w:type="dxa"/>
              <w:left w:w="0" w:type="dxa"/>
              <w:bottom w:w="30" w:type="dxa"/>
              <w:right w:w="150" w:type="dxa"/>
            </w:tcMar>
            <w:vAlign w:val="center"/>
            <w:hideMark/>
          </w:tcPr>
          <w:p w:rsidR="007B736F" w:rsidRPr="00111E66" w:rsidRDefault="007B736F"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5.9%</w:t>
            </w:r>
          </w:p>
        </w:tc>
      </w:tr>
      <w:tr w:rsidR="007B736F" w:rsidRPr="00111E66" w:rsidTr="007B736F">
        <w:trPr>
          <w:trHeight w:val="270"/>
          <w:tblCellSpacing w:w="0" w:type="dxa"/>
        </w:trPr>
        <w:tc>
          <w:tcPr>
            <w:tcW w:w="3750" w:type="dxa"/>
            <w:tcBorders>
              <w:left w:val="nil"/>
              <w:bottom w:val="nil"/>
              <w:right w:val="nil"/>
            </w:tcBorders>
            <w:shd w:val="clear" w:color="auto" w:fill="FFFFFF"/>
            <w:tcMar>
              <w:top w:w="30" w:type="dxa"/>
              <w:left w:w="450" w:type="dxa"/>
              <w:bottom w:w="30" w:type="dxa"/>
              <w:right w:w="150" w:type="dxa"/>
            </w:tcMar>
            <w:vAlign w:val="center"/>
            <w:hideMark/>
          </w:tcPr>
          <w:p w:rsidR="007B736F" w:rsidRPr="00111E66" w:rsidRDefault="007B736F"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Operating margin 5YA</w:t>
            </w:r>
          </w:p>
        </w:tc>
        <w:tc>
          <w:tcPr>
            <w:tcW w:w="1140" w:type="dxa"/>
            <w:tcBorders>
              <w:left w:val="nil"/>
              <w:bottom w:val="nil"/>
              <w:right w:val="nil"/>
            </w:tcBorders>
            <w:shd w:val="clear" w:color="auto" w:fill="FFFFFF"/>
            <w:tcMar>
              <w:top w:w="30" w:type="dxa"/>
              <w:left w:w="0" w:type="dxa"/>
              <w:bottom w:w="30" w:type="dxa"/>
              <w:right w:w="150" w:type="dxa"/>
            </w:tcMar>
            <w:vAlign w:val="center"/>
            <w:hideMark/>
          </w:tcPr>
          <w:p w:rsidR="007B736F" w:rsidRPr="00111E66" w:rsidRDefault="007B736F"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10.03%</w:t>
            </w:r>
          </w:p>
        </w:tc>
        <w:tc>
          <w:tcPr>
            <w:tcW w:w="1140" w:type="dxa"/>
            <w:tcBorders>
              <w:left w:val="nil"/>
              <w:bottom w:val="nil"/>
              <w:right w:val="nil"/>
            </w:tcBorders>
            <w:shd w:val="clear" w:color="auto" w:fill="FFFFFF"/>
            <w:tcMar>
              <w:top w:w="30" w:type="dxa"/>
              <w:left w:w="0" w:type="dxa"/>
              <w:bottom w:w="30" w:type="dxa"/>
              <w:right w:w="150" w:type="dxa"/>
            </w:tcMar>
            <w:vAlign w:val="center"/>
            <w:hideMark/>
          </w:tcPr>
          <w:p w:rsidR="007B736F" w:rsidRPr="00111E66" w:rsidRDefault="007B736F"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5.74%</w:t>
            </w:r>
          </w:p>
        </w:tc>
      </w:tr>
      <w:tr w:rsidR="007B736F" w:rsidRPr="00111E66" w:rsidTr="007B736F">
        <w:trPr>
          <w:trHeight w:val="270"/>
          <w:tblCellSpacing w:w="0" w:type="dxa"/>
        </w:trPr>
        <w:tc>
          <w:tcPr>
            <w:tcW w:w="3750" w:type="dxa"/>
            <w:tcBorders>
              <w:left w:val="nil"/>
              <w:bottom w:val="nil"/>
              <w:right w:val="nil"/>
            </w:tcBorders>
            <w:shd w:val="clear" w:color="auto" w:fill="FFFFFF"/>
            <w:tcMar>
              <w:top w:w="30" w:type="dxa"/>
              <w:left w:w="450" w:type="dxa"/>
              <w:bottom w:w="30" w:type="dxa"/>
              <w:right w:w="150" w:type="dxa"/>
            </w:tcMar>
            <w:vAlign w:val="center"/>
            <w:hideMark/>
          </w:tcPr>
          <w:p w:rsidR="007B736F" w:rsidRPr="00111E66" w:rsidRDefault="007B736F"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Pretax margin TTM</w:t>
            </w:r>
          </w:p>
        </w:tc>
        <w:tc>
          <w:tcPr>
            <w:tcW w:w="1140" w:type="dxa"/>
            <w:tcBorders>
              <w:left w:val="nil"/>
              <w:bottom w:val="nil"/>
              <w:right w:val="nil"/>
            </w:tcBorders>
            <w:shd w:val="clear" w:color="auto" w:fill="FFFFFF"/>
            <w:tcMar>
              <w:top w:w="30" w:type="dxa"/>
              <w:left w:w="0" w:type="dxa"/>
              <w:bottom w:w="30" w:type="dxa"/>
              <w:right w:w="150" w:type="dxa"/>
            </w:tcMar>
            <w:vAlign w:val="center"/>
            <w:hideMark/>
          </w:tcPr>
          <w:p w:rsidR="007B736F" w:rsidRPr="00111E66" w:rsidRDefault="007B736F"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6.79%</w:t>
            </w:r>
          </w:p>
        </w:tc>
        <w:tc>
          <w:tcPr>
            <w:tcW w:w="1140" w:type="dxa"/>
            <w:tcBorders>
              <w:left w:val="nil"/>
              <w:bottom w:val="nil"/>
              <w:right w:val="nil"/>
            </w:tcBorders>
            <w:shd w:val="clear" w:color="auto" w:fill="FFFFFF"/>
            <w:tcMar>
              <w:top w:w="30" w:type="dxa"/>
              <w:left w:w="0" w:type="dxa"/>
              <w:bottom w:w="30" w:type="dxa"/>
              <w:right w:w="150" w:type="dxa"/>
            </w:tcMar>
            <w:vAlign w:val="center"/>
            <w:hideMark/>
          </w:tcPr>
          <w:p w:rsidR="007B736F" w:rsidRPr="00111E66" w:rsidRDefault="007B736F"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5.42%</w:t>
            </w:r>
          </w:p>
        </w:tc>
      </w:tr>
      <w:tr w:rsidR="007B736F" w:rsidRPr="00111E66" w:rsidTr="007B736F">
        <w:trPr>
          <w:trHeight w:val="270"/>
          <w:tblCellSpacing w:w="0" w:type="dxa"/>
        </w:trPr>
        <w:tc>
          <w:tcPr>
            <w:tcW w:w="3750" w:type="dxa"/>
            <w:tcBorders>
              <w:left w:val="nil"/>
              <w:bottom w:val="nil"/>
              <w:right w:val="nil"/>
            </w:tcBorders>
            <w:shd w:val="clear" w:color="auto" w:fill="FFFFFF"/>
            <w:tcMar>
              <w:top w:w="30" w:type="dxa"/>
              <w:left w:w="450" w:type="dxa"/>
              <w:bottom w:w="30" w:type="dxa"/>
              <w:right w:w="150" w:type="dxa"/>
            </w:tcMar>
            <w:vAlign w:val="center"/>
            <w:hideMark/>
          </w:tcPr>
          <w:p w:rsidR="007B736F" w:rsidRPr="00111E66" w:rsidRDefault="007B736F"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Pretax margin 5YA</w:t>
            </w:r>
          </w:p>
        </w:tc>
        <w:tc>
          <w:tcPr>
            <w:tcW w:w="1140" w:type="dxa"/>
            <w:tcBorders>
              <w:left w:val="nil"/>
              <w:bottom w:val="nil"/>
              <w:right w:val="nil"/>
            </w:tcBorders>
            <w:shd w:val="clear" w:color="auto" w:fill="FFFFFF"/>
            <w:tcMar>
              <w:top w:w="30" w:type="dxa"/>
              <w:left w:w="0" w:type="dxa"/>
              <w:bottom w:w="30" w:type="dxa"/>
              <w:right w:w="150" w:type="dxa"/>
            </w:tcMar>
            <w:vAlign w:val="center"/>
            <w:hideMark/>
          </w:tcPr>
          <w:p w:rsidR="007B736F" w:rsidRPr="00111E66" w:rsidRDefault="007B736F"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10.03%</w:t>
            </w:r>
          </w:p>
        </w:tc>
        <w:tc>
          <w:tcPr>
            <w:tcW w:w="1140" w:type="dxa"/>
            <w:tcBorders>
              <w:left w:val="nil"/>
              <w:bottom w:val="nil"/>
              <w:right w:val="nil"/>
            </w:tcBorders>
            <w:shd w:val="clear" w:color="auto" w:fill="FFFFFF"/>
            <w:tcMar>
              <w:top w:w="30" w:type="dxa"/>
              <w:left w:w="0" w:type="dxa"/>
              <w:bottom w:w="30" w:type="dxa"/>
              <w:right w:w="150" w:type="dxa"/>
            </w:tcMar>
            <w:vAlign w:val="center"/>
            <w:hideMark/>
          </w:tcPr>
          <w:p w:rsidR="007B736F" w:rsidRPr="00111E66" w:rsidRDefault="007B736F"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5.04%</w:t>
            </w:r>
          </w:p>
        </w:tc>
      </w:tr>
      <w:tr w:rsidR="007B736F" w:rsidRPr="00111E66" w:rsidTr="007B736F">
        <w:trPr>
          <w:trHeight w:val="270"/>
          <w:tblCellSpacing w:w="0" w:type="dxa"/>
        </w:trPr>
        <w:tc>
          <w:tcPr>
            <w:tcW w:w="3750" w:type="dxa"/>
            <w:tcBorders>
              <w:left w:val="nil"/>
              <w:bottom w:val="nil"/>
              <w:right w:val="nil"/>
            </w:tcBorders>
            <w:shd w:val="clear" w:color="auto" w:fill="FFFFFF"/>
            <w:tcMar>
              <w:top w:w="30" w:type="dxa"/>
              <w:left w:w="450" w:type="dxa"/>
              <w:bottom w:w="30" w:type="dxa"/>
              <w:right w:w="150" w:type="dxa"/>
            </w:tcMar>
            <w:vAlign w:val="center"/>
            <w:hideMark/>
          </w:tcPr>
          <w:p w:rsidR="007B736F" w:rsidRPr="00111E66" w:rsidRDefault="007B736F"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lastRenderedPageBreak/>
              <w:t>Net Profit margin TTM</w:t>
            </w:r>
          </w:p>
        </w:tc>
        <w:tc>
          <w:tcPr>
            <w:tcW w:w="1140" w:type="dxa"/>
            <w:tcBorders>
              <w:left w:val="nil"/>
              <w:bottom w:val="nil"/>
              <w:right w:val="nil"/>
            </w:tcBorders>
            <w:shd w:val="clear" w:color="auto" w:fill="FFFFFF"/>
            <w:tcMar>
              <w:top w:w="30" w:type="dxa"/>
              <w:left w:w="0" w:type="dxa"/>
              <w:bottom w:w="30" w:type="dxa"/>
              <w:right w:w="150" w:type="dxa"/>
            </w:tcMar>
            <w:vAlign w:val="center"/>
            <w:hideMark/>
          </w:tcPr>
          <w:p w:rsidR="007B736F" w:rsidRPr="00111E66" w:rsidRDefault="007B736F"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4.92%</w:t>
            </w:r>
          </w:p>
        </w:tc>
        <w:tc>
          <w:tcPr>
            <w:tcW w:w="1140" w:type="dxa"/>
            <w:tcBorders>
              <w:left w:val="nil"/>
              <w:bottom w:val="nil"/>
              <w:right w:val="nil"/>
            </w:tcBorders>
            <w:shd w:val="clear" w:color="auto" w:fill="FFFFFF"/>
            <w:tcMar>
              <w:top w:w="30" w:type="dxa"/>
              <w:left w:w="0" w:type="dxa"/>
              <w:bottom w:w="30" w:type="dxa"/>
              <w:right w:w="150" w:type="dxa"/>
            </w:tcMar>
            <w:vAlign w:val="center"/>
            <w:hideMark/>
          </w:tcPr>
          <w:p w:rsidR="007B736F" w:rsidRPr="00111E66" w:rsidRDefault="007B736F"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3.82%</w:t>
            </w:r>
          </w:p>
        </w:tc>
      </w:tr>
      <w:tr w:rsidR="007B736F" w:rsidRPr="00111E66" w:rsidTr="007B736F">
        <w:trPr>
          <w:trHeight w:val="270"/>
          <w:tblCellSpacing w:w="0" w:type="dxa"/>
        </w:trPr>
        <w:tc>
          <w:tcPr>
            <w:tcW w:w="3750" w:type="dxa"/>
            <w:tcBorders>
              <w:left w:val="nil"/>
              <w:bottom w:val="nil"/>
              <w:right w:val="nil"/>
            </w:tcBorders>
            <w:shd w:val="clear" w:color="auto" w:fill="EDF4FA"/>
            <w:tcMar>
              <w:top w:w="30" w:type="dxa"/>
              <w:left w:w="450" w:type="dxa"/>
              <w:bottom w:w="30" w:type="dxa"/>
              <w:right w:w="150" w:type="dxa"/>
            </w:tcMar>
            <w:vAlign w:val="center"/>
            <w:hideMark/>
          </w:tcPr>
          <w:p w:rsidR="007B736F" w:rsidRPr="00111E66" w:rsidRDefault="007B736F"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Net Profit margin 5YA</w:t>
            </w:r>
          </w:p>
        </w:tc>
        <w:tc>
          <w:tcPr>
            <w:tcW w:w="1140" w:type="dxa"/>
            <w:tcBorders>
              <w:left w:val="nil"/>
              <w:bottom w:val="nil"/>
              <w:right w:val="nil"/>
            </w:tcBorders>
            <w:shd w:val="clear" w:color="auto" w:fill="EDF4FA"/>
            <w:tcMar>
              <w:top w:w="30" w:type="dxa"/>
              <w:left w:w="0" w:type="dxa"/>
              <w:bottom w:w="30" w:type="dxa"/>
              <w:right w:w="150" w:type="dxa"/>
            </w:tcMar>
            <w:vAlign w:val="center"/>
            <w:hideMark/>
          </w:tcPr>
          <w:p w:rsidR="007B736F" w:rsidRPr="00111E66" w:rsidRDefault="007B736F"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7.12%</w:t>
            </w:r>
          </w:p>
        </w:tc>
        <w:tc>
          <w:tcPr>
            <w:tcW w:w="1140" w:type="dxa"/>
            <w:tcBorders>
              <w:left w:val="nil"/>
              <w:bottom w:val="nil"/>
              <w:right w:val="nil"/>
            </w:tcBorders>
            <w:shd w:val="clear" w:color="auto" w:fill="EDF4FA"/>
            <w:tcMar>
              <w:top w:w="30" w:type="dxa"/>
              <w:left w:w="0" w:type="dxa"/>
              <w:bottom w:w="30" w:type="dxa"/>
              <w:right w:w="150" w:type="dxa"/>
            </w:tcMar>
            <w:vAlign w:val="center"/>
            <w:hideMark/>
          </w:tcPr>
          <w:p w:rsidR="007B736F" w:rsidRPr="00111E66" w:rsidRDefault="007B736F"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3.45%</w:t>
            </w:r>
          </w:p>
        </w:tc>
      </w:tr>
    </w:tbl>
    <w:p w:rsidR="00717204" w:rsidRPr="00111E66" w:rsidRDefault="00717204" w:rsidP="00767A39">
      <w:pPr>
        <w:spacing w:line="240" w:lineRule="auto"/>
        <w:rPr>
          <w:rFonts w:ascii="Times New Roman" w:hAnsi="Times New Roman" w:cs="Times New Roman"/>
          <w:sz w:val="24"/>
          <w:szCs w:val="24"/>
        </w:rPr>
      </w:pPr>
      <w:r w:rsidRPr="00111E66">
        <w:rPr>
          <w:rFonts w:ascii="Times New Roman" w:hAnsi="Times New Roman" w:cs="Times New Roman"/>
          <w:sz w:val="24"/>
          <w:szCs w:val="24"/>
        </w:rPr>
        <w:t xml:space="preserve">Source: David Jones Profitability Ratios in Percentages in Comparison with Industry’s Average between Years 2010 and 2014. </w:t>
      </w:r>
      <w:proofErr w:type="gramStart"/>
      <w:r w:rsidRPr="00111E66">
        <w:rPr>
          <w:rFonts w:ascii="Times New Roman" w:hAnsi="Times New Roman" w:cs="Times New Roman"/>
          <w:sz w:val="24"/>
          <w:szCs w:val="24"/>
        </w:rPr>
        <w:t xml:space="preserve">Retrieved from </w:t>
      </w:r>
      <w:hyperlink r:id="rId7" w:history="1">
        <w:r w:rsidRPr="00111E66">
          <w:rPr>
            <w:rStyle w:val="Hyperlink"/>
            <w:rFonts w:ascii="Times New Roman" w:hAnsi="Times New Roman" w:cs="Times New Roman"/>
            <w:sz w:val="24"/>
            <w:szCs w:val="24"/>
          </w:rPr>
          <w:t>https://au.investing.com/equities/d-jones-ltd-ratios</w:t>
        </w:r>
      </w:hyperlink>
      <w:r w:rsidRPr="00111E66">
        <w:rPr>
          <w:rFonts w:ascii="Times New Roman" w:hAnsi="Times New Roman" w:cs="Times New Roman"/>
          <w:sz w:val="24"/>
          <w:szCs w:val="24"/>
        </w:rPr>
        <w:t>.</w:t>
      </w:r>
      <w:proofErr w:type="gramEnd"/>
      <w:r w:rsidRPr="00111E66">
        <w:rPr>
          <w:rFonts w:ascii="Times New Roman" w:hAnsi="Times New Roman" w:cs="Times New Roman"/>
          <w:sz w:val="24"/>
          <w:szCs w:val="24"/>
        </w:rPr>
        <w:t xml:space="preserve"> </w:t>
      </w:r>
    </w:p>
    <w:p w:rsidR="008109E6" w:rsidRPr="00111E66" w:rsidRDefault="008109E6" w:rsidP="00767A39">
      <w:pPr>
        <w:spacing w:line="480" w:lineRule="auto"/>
        <w:ind w:firstLine="720"/>
        <w:rPr>
          <w:rFonts w:ascii="Times New Roman" w:hAnsi="Times New Roman" w:cs="Times New Roman"/>
          <w:sz w:val="24"/>
          <w:szCs w:val="24"/>
        </w:rPr>
      </w:pPr>
      <w:r w:rsidRPr="00111E66">
        <w:rPr>
          <w:rFonts w:ascii="Times New Roman" w:hAnsi="Times New Roman" w:cs="Times New Roman"/>
          <w:sz w:val="24"/>
          <w:szCs w:val="24"/>
        </w:rPr>
        <w:t>The profitability analysis of David Jones indicates that the company operated profitably considering the five years average from the year 2010 to the year 2014. The portability of the company exceeded the industry’s profitability levels implying that the company had a positive performance over the five years.</w:t>
      </w:r>
    </w:p>
    <w:p w:rsidR="00891426" w:rsidRPr="00767A39" w:rsidRDefault="002230C8" w:rsidP="00111E66">
      <w:pPr>
        <w:spacing w:line="480" w:lineRule="auto"/>
        <w:rPr>
          <w:rFonts w:ascii="Times New Roman" w:hAnsi="Times New Roman" w:cs="Times New Roman"/>
          <w:b/>
          <w:sz w:val="24"/>
          <w:szCs w:val="24"/>
        </w:rPr>
      </w:pPr>
      <w:r w:rsidRPr="00767A39">
        <w:rPr>
          <w:rFonts w:ascii="Times New Roman" w:hAnsi="Times New Roman" w:cs="Times New Roman"/>
          <w:b/>
          <w:sz w:val="24"/>
          <w:szCs w:val="24"/>
        </w:rPr>
        <w:t xml:space="preserve">Financial </w:t>
      </w:r>
      <w:r w:rsidR="00767A39" w:rsidRPr="00767A39">
        <w:rPr>
          <w:rFonts w:ascii="Times New Roman" w:hAnsi="Times New Roman" w:cs="Times New Roman"/>
          <w:b/>
          <w:sz w:val="24"/>
          <w:szCs w:val="24"/>
        </w:rPr>
        <w:t>S</w:t>
      </w:r>
      <w:r w:rsidRPr="00767A39">
        <w:rPr>
          <w:rFonts w:ascii="Times New Roman" w:hAnsi="Times New Roman" w:cs="Times New Roman"/>
          <w:b/>
          <w:sz w:val="24"/>
          <w:szCs w:val="24"/>
        </w:rPr>
        <w:t>trength (Liquidity)</w:t>
      </w:r>
    </w:p>
    <w:p w:rsidR="002679FE" w:rsidRPr="00767A39" w:rsidRDefault="002679FE" w:rsidP="00111E66">
      <w:pPr>
        <w:spacing w:line="480" w:lineRule="auto"/>
        <w:rPr>
          <w:rFonts w:ascii="Times New Roman" w:hAnsi="Times New Roman" w:cs="Times New Roman"/>
          <w:b/>
          <w:i/>
          <w:sz w:val="24"/>
          <w:szCs w:val="24"/>
        </w:rPr>
      </w:pPr>
      <w:r w:rsidRPr="00767A39">
        <w:rPr>
          <w:rFonts w:ascii="Times New Roman" w:hAnsi="Times New Roman" w:cs="Times New Roman"/>
          <w:b/>
          <w:i/>
          <w:sz w:val="24"/>
          <w:szCs w:val="24"/>
        </w:rPr>
        <w:t xml:space="preserve">Table 3: David Jones Liquidity Ratios </w:t>
      </w:r>
    </w:p>
    <w:tbl>
      <w:tblPr>
        <w:tblW w:w="9927" w:type="dxa"/>
        <w:tblCellSpacing w:w="0" w:type="dxa"/>
        <w:shd w:val="clear" w:color="auto" w:fill="FFFFFF"/>
        <w:tblCellMar>
          <w:left w:w="0" w:type="dxa"/>
          <w:right w:w="0" w:type="dxa"/>
        </w:tblCellMar>
        <w:tblLook w:val="04A0"/>
      </w:tblPr>
      <w:tblGrid>
        <w:gridCol w:w="6175"/>
        <w:gridCol w:w="1876"/>
        <w:gridCol w:w="1876"/>
      </w:tblGrid>
      <w:tr w:rsidR="00E45B70" w:rsidRPr="00111E66" w:rsidTr="00900C55">
        <w:trPr>
          <w:trHeight w:val="276"/>
          <w:tblCellSpacing w:w="0" w:type="dxa"/>
        </w:trPr>
        <w:tc>
          <w:tcPr>
            <w:tcW w:w="6175" w:type="dxa"/>
            <w:tcBorders>
              <w:top w:val="single" w:sz="12" w:space="0" w:color="BABABA"/>
              <w:left w:val="nil"/>
              <w:bottom w:val="nil"/>
              <w:right w:val="nil"/>
            </w:tcBorders>
            <w:shd w:val="clear" w:color="auto" w:fill="FFFFFF"/>
            <w:tcMar>
              <w:top w:w="31" w:type="dxa"/>
              <w:left w:w="460" w:type="dxa"/>
              <w:bottom w:w="31" w:type="dxa"/>
              <w:right w:w="153" w:type="dxa"/>
            </w:tcMar>
            <w:vAlign w:val="center"/>
            <w:hideMark/>
          </w:tcPr>
          <w:p w:rsidR="00E45B70" w:rsidRPr="00111E66" w:rsidRDefault="00E45B70" w:rsidP="00111E66">
            <w:pPr>
              <w:spacing w:line="480" w:lineRule="auto"/>
              <w:rPr>
                <w:rFonts w:ascii="Times New Roman" w:hAnsi="Times New Roman" w:cs="Times New Roman"/>
                <w:sz w:val="24"/>
                <w:szCs w:val="24"/>
              </w:rPr>
            </w:pPr>
          </w:p>
        </w:tc>
        <w:tc>
          <w:tcPr>
            <w:tcW w:w="1876" w:type="dxa"/>
            <w:tcBorders>
              <w:top w:val="single" w:sz="12" w:space="0" w:color="BABABA"/>
              <w:left w:val="nil"/>
              <w:bottom w:val="nil"/>
              <w:right w:val="nil"/>
            </w:tcBorders>
            <w:shd w:val="clear" w:color="auto" w:fill="FFFFFF"/>
            <w:tcMar>
              <w:top w:w="31" w:type="dxa"/>
              <w:left w:w="0" w:type="dxa"/>
              <w:bottom w:w="31" w:type="dxa"/>
              <w:right w:w="153" w:type="dxa"/>
            </w:tcMar>
            <w:vAlign w:val="center"/>
            <w:hideMark/>
          </w:tcPr>
          <w:p w:rsidR="00E45B70" w:rsidRPr="00767A39" w:rsidRDefault="00E45B70" w:rsidP="00111E66">
            <w:pPr>
              <w:spacing w:line="480" w:lineRule="auto"/>
              <w:rPr>
                <w:rFonts w:ascii="Times New Roman" w:hAnsi="Times New Roman" w:cs="Times New Roman"/>
                <w:b/>
                <w:sz w:val="24"/>
                <w:szCs w:val="24"/>
              </w:rPr>
            </w:pPr>
            <w:r w:rsidRPr="00767A39">
              <w:rPr>
                <w:rFonts w:ascii="Times New Roman" w:hAnsi="Times New Roman" w:cs="Times New Roman"/>
                <w:b/>
                <w:sz w:val="24"/>
                <w:szCs w:val="24"/>
              </w:rPr>
              <w:t xml:space="preserve">Company </w:t>
            </w:r>
          </w:p>
        </w:tc>
        <w:tc>
          <w:tcPr>
            <w:tcW w:w="1876" w:type="dxa"/>
            <w:tcBorders>
              <w:top w:val="single" w:sz="12" w:space="0" w:color="BABABA"/>
              <w:left w:val="nil"/>
              <w:bottom w:val="nil"/>
              <w:right w:val="nil"/>
            </w:tcBorders>
            <w:shd w:val="clear" w:color="auto" w:fill="FFFFFF"/>
            <w:tcMar>
              <w:top w:w="31" w:type="dxa"/>
              <w:left w:w="0" w:type="dxa"/>
              <w:bottom w:w="31" w:type="dxa"/>
              <w:right w:w="153" w:type="dxa"/>
            </w:tcMar>
            <w:vAlign w:val="center"/>
            <w:hideMark/>
          </w:tcPr>
          <w:p w:rsidR="00E45B70" w:rsidRPr="00767A39" w:rsidRDefault="00E45B70" w:rsidP="00111E66">
            <w:pPr>
              <w:spacing w:line="480" w:lineRule="auto"/>
              <w:rPr>
                <w:rFonts w:ascii="Times New Roman" w:hAnsi="Times New Roman" w:cs="Times New Roman"/>
                <w:b/>
                <w:sz w:val="24"/>
                <w:szCs w:val="24"/>
              </w:rPr>
            </w:pPr>
            <w:r w:rsidRPr="00767A39">
              <w:rPr>
                <w:rFonts w:ascii="Times New Roman" w:hAnsi="Times New Roman" w:cs="Times New Roman"/>
                <w:b/>
                <w:sz w:val="24"/>
                <w:szCs w:val="24"/>
              </w:rPr>
              <w:t xml:space="preserve">Industry </w:t>
            </w:r>
          </w:p>
        </w:tc>
      </w:tr>
      <w:tr w:rsidR="00E45B70" w:rsidRPr="00111E66" w:rsidTr="00900C55">
        <w:trPr>
          <w:trHeight w:val="276"/>
          <w:tblCellSpacing w:w="0" w:type="dxa"/>
        </w:trPr>
        <w:tc>
          <w:tcPr>
            <w:tcW w:w="6175" w:type="dxa"/>
            <w:tcBorders>
              <w:top w:val="single" w:sz="12" w:space="0" w:color="BABABA"/>
              <w:left w:val="nil"/>
              <w:bottom w:val="nil"/>
              <w:right w:val="nil"/>
            </w:tcBorders>
            <w:shd w:val="clear" w:color="auto" w:fill="FFFFFF"/>
            <w:tcMar>
              <w:top w:w="31" w:type="dxa"/>
              <w:left w:w="460" w:type="dxa"/>
              <w:bottom w:w="31" w:type="dxa"/>
              <w:right w:w="153" w:type="dxa"/>
            </w:tcMar>
            <w:vAlign w:val="center"/>
            <w:hideMark/>
          </w:tcPr>
          <w:p w:rsidR="00E45B70" w:rsidRPr="00111E66" w:rsidRDefault="00E45B70"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Quick Ratio MRQ</w:t>
            </w:r>
          </w:p>
        </w:tc>
        <w:tc>
          <w:tcPr>
            <w:tcW w:w="1876" w:type="dxa"/>
            <w:tcBorders>
              <w:top w:val="single" w:sz="12" w:space="0" w:color="BABABA"/>
              <w:left w:val="nil"/>
              <w:bottom w:val="nil"/>
              <w:right w:val="nil"/>
            </w:tcBorders>
            <w:shd w:val="clear" w:color="auto" w:fill="FFFFFF"/>
            <w:tcMar>
              <w:top w:w="31" w:type="dxa"/>
              <w:left w:w="0" w:type="dxa"/>
              <w:bottom w:w="31" w:type="dxa"/>
              <w:right w:w="153" w:type="dxa"/>
            </w:tcMar>
            <w:vAlign w:val="center"/>
            <w:hideMark/>
          </w:tcPr>
          <w:p w:rsidR="00E45B70" w:rsidRPr="00111E66" w:rsidRDefault="00E45B70"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0.23</w:t>
            </w:r>
          </w:p>
        </w:tc>
        <w:tc>
          <w:tcPr>
            <w:tcW w:w="1876" w:type="dxa"/>
            <w:tcBorders>
              <w:top w:val="single" w:sz="12" w:space="0" w:color="BABABA"/>
              <w:left w:val="nil"/>
              <w:bottom w:val="nil"/>
              <w:right w:val="nil"/>
            </w:tcBorders>
            <w:shd w:val="clear" w:color="auto" w:fill="FFFFFF"/>
            <w:tcMar>
              <w:top w:w="31" w:type="dxa"/>
              <w:left w:w="0" w:type="dxa"/>
              <w:bottom w:w="31" w:type="dxa"/>
              <w:right w:w="153" w:type="dxa"/>
            </w:tcMar>
            <w:vAlign w:val="center"/>
            <w:hideMark/>
          </w:tcPr>
          <w:p w:rsidR="00E45B70" w:rsidRPr="00111E66" w:rsidRDefault="00E45B70"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0.33</w:t>
            </w:r>
          </w:p>
        </w:tc>
      </w:tr>
      <w:tr w:rsidR="00E45B70" w:rsidRPr="00111E66" w:rsidTr="00900C55">
        <w:trPr>
          <w:trHeight w:val="276"/>
          <w:tblCellSpacing w:w="0" w:type="dxa"/>
        </w:trPr>
        <w:tc>
          <w:tcPr>
            <w:tcW w:w="6175" w:type="dxa"/>
            <w:tcBorders>
              <w:left w:val="nil"/>
              <w:bottom w:val="nil"/>
              <w:right w:val="nil"/>
            </w:tcBorders>
            <w:shd w:val="clear" w:color="auto" w:fill="FFFFFF"/>
            <w:tcMar>
              <w:top w:w="31" w:type="dxa"/>
              <w:left w:w="460" w:type="dxa"/>
              <w:bottom w:w="31" w:type="dxa"/>
              <w:right w:w="153" w:type="dxa"/>
            </w:tcMar>
            <w:vAlign w:val="center"/>
            <w:hideMark/>
          </w:tcPr>
          <w:p w:rsidR="00E45B70" w:rsidRPr="00111E66" w:rsidRDefault="00E45B70"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Current Ratio MRQ</w:t>
            </w:r>
          </w:p>
        </w:tc>
        <w:tc>
          <w:tcPr>
            <w:tcW w:w="1876" w:type="dxa"/>
            <w:tcBorders>
              <w:left w:val="nil"/>
              <w:bottom w:val="nil"/>
              <w:right w:val="nil"/>
            </w:tcBorders>
            <w:shd w:val="clear" w:color="auto" w:fill="FFFFFF"/>
            <w:tcMar>
              <w:top w:w="31" w:type="dxa"/>
              <w:left w:w="0" w:type="dxa"/>
              <w:bottom w:w="31" w:type="dxa"/>
              <w:right w:w="153" w:type="dxa"/>
            </w:tcMar>
            <w:vAlign w:val="center"/>
            <w:hideMark/>
          </w:tcPr>
          <w:p w:rsidR="00E45B70" w:rsidRPr="00111E66" w:rsidRDefault="00E45B70"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0.87</w:t>
            </w:r>
          </w:p>
        </w:tc>
        <w:tc>
          <w:tcPr>
            <w:tcW w:w="1876" w:type="dxa"/>
            <w:tcBorders>
              <w:left w:val="nil"/>
              <w:bottom w:val="nil"/>
              <w:right w:val="nil"/>
            </w:tcBorders>
            <w:shd w:val="clear" w:color="auto" w:fill="FFFFFF"/>
            <w:tcMar>
              <w:top w:w="31" w:type="dxa"/>
              <w:left w:w="0" w:type="dxa"/>
              <w:bottom w:w="31" w:type="dxa"/>
              <w:right w:w="153" w:type="dxa"/>
            </w:tcMar>
            <w:vAlign w:val="center"/>
            <w:hideMark/>
          </w:tcPr>
          <w:p w:rsidR="00E45B70" w:rsidRPr="00111E66" w:rsidRDefault="00E45B70"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0.91</w:t>
            </w:r>
          </w:p>
        </w:tc>
      </w:tr>
      <w:tr w:rsidR="00E45B70" w:rsidRPr="00111E66" w:rsidTr="00900C55">
        <w:trPr>
          <w:trHeight w:val="276"/>
          <w:tblCellSpacing w:w="0" w:type="dxa"/>
        </w:trPr>
        <w:tc>
          <w:tcPr>
            <w:tcW w:w="6175" w:type="dxa"/>
            <w:tcBorders>
              <w:left w:val="nil"/>
              <w:bottom w:val="nil"/>
              <w:right w:val="nil"/>
            </w:tcBorders>
            <w:shd w:val="clear" w:color="auto" w:fill="FFFFFF"/>
            <w:tcMar>
              <w:top w:w="31" w:type="dxa"/>
              <w:left w:w="460" w:type="dxa"/>
              <w:bottom w:w="31" w:type="dxa"/>
              <w:right w:w="153" w:type="dxa"/>
            </w:tcMar>
            <w:vAlign w:val="center"/>
            <w:hideMark/>
          </w:tcPr>
          <w:p w:rsidR="00E45B70" w:rsidRPr="00111E66" w:rsidRDefault="00E45B70"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LT Debt to Equity MRQ</w:t>
            </w:r>
          </w:p>
        </w:tc>
        <w:tc>
          <w:tcPr>
            <w:tcW w:w="1876" w:type="dxa"/>
            <w:tcBorders>
              <w:left w:val="nil"/>
              <w:bottom w:val="nil"/>
              <w:right w:val="nil"/>
            </w:tcBorders>
            <w:shd w:val="clear" w:color="auto" w:fill="FFFFFF"/>
            <w:tcMar>
              <w:top w:w="31" w:type="dxa"/>
              <w:left w:w="0" w:type="dxa"/>
              <w:bottom w:w="31" w:type="dxa"/>
              <w:right w:w="153" w:type="dxa"/>
            </w:tcMar>
            <w:vAlign w:val="center"/>
            <w:hideMark/>
          </w:tcPr>
          <w:p w:rsidR="00E45B70" w:rsidRPr="00111E66" w:rsidRDefault="00E45B70"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0%</w:t>
            </w:r>
          </w:p>
        </w:tc>
        <w:tc>
          <w:tcPr>
            <w:tcW w:w="1876" w:type="dxa"/>
            <w:tcBorders>
              <w:left w:val="nil"/>
              <w:bottom w:val="nil"/>
              <w:right w:val="nil"/>
            </w:tcBorders>
            <w:shd w:val="clear" w:color="auto" w:fill="FFFFFF"/>
            <w:tcMar>
              <w:top w:w="31" w:type="dxa"/>
              <w:left w:w="0" w:type="dxa"/>
              <w:bottom w:w="31" w:type="dxa"/>
              <w:right w:w="153" w:type="dxa"/>
            </w:tcMar>
            <w:vAlign w:val="center"/>
            <w:hideMark/>
          </w:tcPr>
          <w:p w:rsidR="00E45B70" w:rsidRPr="00111E66" w:rsidRDefault="00E45B70"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16.44%</w:t>
            </w:r>
          </w:p>
        </w:tc>
      </w:tr>
      <w:tr w:rsidR="00E45B70" w:rsidRPr="00111E66" w:rsidTr="00900C55">
        <w:trPr>
          <w:trHeight w:val="276"/>
          <w:tblCellSpacing w:w="0" w:type="dxa"/>
        </w:trPr>
        <w:tc>
          <w:tcPr>
            <w:tcW w:w="6175" w:type="dxa"/>
            <w:tcBorders>
              <w:left w:val="nil"/>
              <w:bottom w:val="nil"/>
              <w:right w:val="nil"/>
            </w:tcBorders>
            <w:shd w:val="clear" w:color="auto" w:fill="EDF4FA"/>
            <w:tcMar>
              <w:top w:w="31" w:type="dxa"/>
              <w:left w:w="460" w:type="dxa"/>
              <w:bottom w:w="31" w:type="dxa"/>
              <w:right w:w="153" w:type="dxa"/>
            </w:tcMar>
            <w:vAlign w:val="center"/>
            <w:hideMark/>
          </w:tcPr>
          <w:p w:rsidR="00E45B70" w:rsidRPr="00111E66" w:rsidRDefault="00E45B70"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Total Debt to Equity MRQ</w:t>
            </w:r>
          </w:p>
        </w:tc>
        <w:tc>
          <w:tcPr>
            <w:tcW w:w="1876" w:type="dxa"/>
            <w:tcBorders>
              <w:left w:val="nil"/>
              <w:bottom w:val="nil"/>
              <w:right w:val="nil"/>
            </w:tcBorders>
            <w:shd w:val="clear" w:color="auto" w:fill="EDF4FA"/>
            <w:tcMar>
              <w:top w:w="31" w:type="dxa"/>
              <w:left w:w="0" w:type="dxa"/>
              <w:bottom w:w="31" w:type="dxa"/>
              <w:right w:w="153" w:type="dxa"/>
            </w:tcMar>
            <w:vAlign w:val="center"/>
            <w:hideMark/>
          </w:tcPr>
          <w:p w:rsidR="00E45B70" w:rsidRPr="00111E66" w:rsidRDefault="00E45B70"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5.36%</w:t>
            </w:r>
          </w:p>
        </w:tc>
        <w:tc>
          <w:tcPr>
            <w:tcW w:w="1876" w:type="dxa"/>
            <w:tcBorders>
              <w:left w:val="nil"/>
              <w:bottom w:val="nil"/>
              <w:right w:val="nil"/>
            </w:tcBorders>
            <w:shd w:val="clear" w:color="auto" w:fill="EDF4FA"/>
            <w:tcMar>
              <w:top w:w="31" w:type="dxa"/>
              <w:left w:w="0" w:type="dxa"/>
              <w:bottom w:w="31" w:type="dxa"/>
              <w:right w:w="153" w:type="dxa"/>
            </w:tcMar>
            <w:vAlign w:val="center"/>
            <w:hideMark/>
          </w:tcPr>
          <w:p w:rsidR="00E45B70" w:rsidRPr="00111E66" w:rsidRDefault="00E45B70" w:rsidP="00111E66">
            <w:pPr>
              <w:spacing w:line="480" w:lineRule="auto"/>
              <w:rPr>
                <w:rFonts w:ascii="Times New Roman" w:hAnsi="Times New Roman" w:cs="Times New Roman"/>
                <w:sz w:val="24"/>
                <w:szCs w:val="24"/>
              </w:rPr>
            </w:pPr>
            <w:r w:rsidRPr="00111E66">
              <w:rPr>
                <w:rFonts w:ascii="Times New Roman" w:hAnsi="Times New Roman" w:cs="Times New Roman"/>
                <w:sz w:val="24"/>
                <w:szCs w:val="24"/>
              </w:rPr>
              <w:t>24.5%</w:t>
            </w:r>
          </w:p>
        </w:tc>
      </w:tr>
    </w:tbl>
    <w:p w:rsidR="00900C55" w:rsidRPr="00111E66" w:rsidRDefault="00900C55" w:rsidP="00767A39">
      <w:pPr>
        <w:spacing w:line="240" w:lineRule="auto"/>
        <w:rPr>
          <w:rFonts w:ascii="Times New Roman" w:hAnsi="Times New Roman" w:cs="Times New Roman"/>
          <w:sz w:val="24"/>
          <w:szCs w:val="24"/>
        </w:rPr>
      </w:pPr>
      <w:r w:rsidRPr="00111E66">
        <w:rPr>
          <w:rFonts w:ascii="Times New Roman" w:hAnsi="Times New Roman" w:cs="Times New Roman"/>
          <w:sz w:val="24"/>
          <w:szCs w:val="24"/>
        </w:rPr>
        <w:t xml:space="preserve">Source: David Jones Liquidity Ratios in Comparison with Industry’s Average between Years 2010 and 2014. </w:t>
      </w:r>
      <w:proofErr w:type="gramStart"/>
      <w:r w:rsidRPr="00111E66">
        <w:rPr>
          <w:rFonts w:ascii="Times New Roman" w:hAnsi="Times New Roman" w:cs="Times New Roman"/>
          <w:sz w:val="24"/>
          <w:szCs w:val="24"/>
        </w:rPr>
        <w:t xml:space="preserve">Retrieved from </w:t>
      </w:r>
      <w:hyperlink r:id="rId8" w:history="1">
        <w:r w:rsidRPr="00111E66">
          <w:rPr>
            <w:rStyle w:val="Hyperlink"/>
            <w:rFonts w:ascii="Times New Roman" w:hAnsi="Times New Roman" w:cs="Times New Roman"/>
            <w:sz w:val="24"/>
            <w:szCs w:val="24"/>
          </w:rPr>
          <w:t>https://au.investing.com/equities/d-jones-ltd-ratios</w:t>
        </w:r>
      </w:hyperlink>
      <w:r w:rsidRPr="00111E66">
        <w:rPr>
          <w:rFonts w:ascii="Times New Roman" w:hAnsi="Times New Roman" w:cs="Times New Roman"/>
          <w:sz w:val="24"/>
          <w:szCs w:val="24"/>
        </w:rPr>
        <w:t>.</w:t>
      </w:r>
      <w:proofErr w:type="gramEnd"/>
      <w:r w:rsidRPr="00111E66">
        <w:rPr>
          <w:rFonts w:ascii="Times New Roman" w:hAnsi="Times New Roman" w:cs="Times New Roman"/>
          <w:sz w:val="24"/>
          <w:szCs w:val="24"/>
        </w:rPr>
        <w:t xml:space="preserve"> </w:t>
      </w:r>
    </w:p>
    <w:p w:rsidR="00111E66" w:rsidRPr="00111E66" w:rsidRDefault="00111E66" w:rsidP="00767A39">
      <w:pPr>
        <w:spacing w:line="480" w:lineRule="auto"/>
        <w:ind w:firstLine="720"/>
        <w:rPr>
          <w:rFonts w:ascii="Times New Roman" w:hAnsi="Times New Roman" w:cs="Times New Roman"/>
          <w:sz w:val="24"/>
          <w:szCs w:val="24"/>
        </w:rPr>
      </w:pPr>
      <w:r w:rsidRPr="00111E66">
        <w:rPr>
          <w:rFonts w:ascii="Times New Roman" w:hAnsi="Times New Roman" w:cs="Times New Roman"/>
          <w:sz w:val="24"/>
          <w:szCs w:val="24"/>
        </w:rPr>
        <w:t xml:space="preserve">The financial strength of a business plays a significant role in the smooth operations of a company. Most importantly the level of liquidity determines a </w:t>
      </w:r>
      <w:proofErr w:type="gramStart"/>
      <w:r w:rsidRPr="00111E66">
        <w:rPr>
          <w:rFonts w:ascii="Times New Roman" w:hAnsi="Times New Roman" w:cs="Times New Roman"/>
          <w:sz w:val="24"/>
          <w:szCs w:val="24"/>
        </w:rPr>
        <w:t>firms</w:t>
      </w:r>
      <w:proofErr w:type="gramEnd"/>
      <w:r w:rsidRPr="00111E66">
        <w:rPr>
          <w:rFonts w:ascii="Times New Roman" w:hAnsi="Times New Roman" w:cs="Times New Roman"/>
          <w:sz w:val="24"/>
          <w:szCs w:val="24"/>
        </w:rPr>
        <w:t xml:space="preserve"> capability of meeting short-term obligations when they fall due. The liquidity ratios particularly the quick ratio and the </w:t>
      </w:r>
      <w:r w:rsidRPr="00111E66">
        <w:rPr>
          <w:rFonts w:ascii="Times New Roman" w:hAnsi="Times New Roman" w:cs="Times New Roman"/>
          <w:sz w:val="24"/>
          <w:szCs w:val="24"/>
        </w:rPr>
        <w:lastRenderedPageBreak/>
        <w:t xml:space="preserve">current ratio of David Jones indicates that the company’s liquidity was below the industry’s average between the year 2010 and 2014. This implies that the company suffered liquidity problems in settling short-term liabilities when they fall due. </w:t>
      </w:r>
    </w:p>
    <w:p w:rsidR="00111E66" w:rsidRPr="00767A39" w:rsidRDefault="00111E66" w:rsidP="00767A39">
      <w:pPr>
        <w:spacing w:line="480" w:lineRule="auto"/>
        <w:jc w:val="center"/>
        <w:rPr>
          <w:rFonts w:ascii="Times New Roman" w:hAnsi="Times New Roman" w:cs="Times New Roman"/>
          <w:b/>
          <w:sz w:val="24"/>
          <w:szCs w:val="24"/>
        </w:rPr>
      </w:pPr>
      <w:r w:rsidRPr="00767A39">
        <w:rPr>
          <w:rFonts w:ascii="Times New Roman" w:hAnsi="Times New Roman" w:cs="Times New Roman"/>
          <w:b/>
          <w:sz w:val="24"/>
          <w:szCs w:val="24"/>
        </w:rPr>
        <w:t>Conclusion</w:t>
      </w:r>
    </w:p>
    <w:p w:rsidR="00111E66" w:rsidRPr="00111E66" w:rsidRDefault="00111E66" w:rsidP="00767A39">
      <w:pPr>
        <w:spacing w:line="480" w:lineRule="auto"/>
        <w:ind w:firstLine="720"/>
        <w:rPr>
          <w:rFonts w:ascii="Times New Roman" w:hAnsi="Times New Roman" w:cs="Times New Roman"/>
          <w:sz w:val="24"/>
          <w:szCs w:val="24"/>
        </w:rPr>
      </w:pPr>
      <w:r w:rsidRPr="00111E66">
        <w:rPr>
          <w:rFonts w:ascii="Times New Roman" w:hAnsi="Times New Roman" w:cs="Times New Roman"/>
          <w:sz w:val="24"/>
          <w:szCs w:val="24"/>
        </w:rPr>
        <w:t>An organization’s structure plays a crucial role on the organization’s performance most importantly to the level of employee engagement in the organization given that an organizations performance is dependent on the employees’ commitment to their roles and productivity. David Jones functional organizational structure that divided roles and responsibilities into various units did not only enhance specialization but also enhanced employee performance through inclusivity culture. However, the company’s management high level of risk taking in expansion strategies failed to take into account the firm’s financial strength and thus, contributed to slowed growth before acquisition by Woolworths Group in the year 2014.</w:t>
      </w:r>
    </w:p>
    <w:p w:rsidR="00767A39" w:rsidRDefault="00767A39" w:rsidP="00111E66">
      <w:pPr>
        <w:spacing w:line="480" w:lineRule="auto"/>
        <w:rPr>
          <w:rFonts w:ascii="Times New Roman" w:hAnsi="Times New Roman" w:cs="Times New Roman"/>
          <w:sz w:val="24"/>
          <w:szCs w:val="24"/>
        </w:rPr>
      </w:pPr>
    </w:p>
    <w:p w:rsidR="00767A39" w:rsidRDefault="00767A39" w:rsidP="00111E66">
      <w:pPr>
        <w:spacing w:line="480" w:lineRule="auto"/>
        <w:rPr>
          <w:rFonts w:ascii="Times New Roman" w:hAnsi="Times New Roman" w:cs="Times New Roman"/>
          <w:sz w:val="24"/>
          <w:szCs w:val="24"/>
        </w:rPr>
      </w:pPr>
    </w:p>
    <w:p w:rsidR="00767A39" w:rsidRDefault="00767A39" w:rsidP="00111E66">
      <w:pPr>
        <w:spacing w:line="480" w:lineRule="auto"/>
        <w:rPr>
          <w:rFonts w:ascii="Times New Roman" w:hAnsi="Times New Roman" w:cs="Times New Roman"/>
          <w:sz w:val="24"/>
          <w:szCs w:val="24"/>
        </w:rPr>
      </w:pPr>
    </w:p>
    <w:p w:rsidR="00767A39" w:rsidRDefault="00767A39" w:rsidP="00111E66">
      <w:pPr>
        <w:spacing w:line="480" w:lineRule="auto"/>
        <w:rPr>
          <w:rFonts w:ascii="Times New Roman" w:hAnsi="Times New Roman" w:cs="Times New Roman"/>
          <w:sz w:val="24"/>
          <w:szCs w:val="24"/>
        </w:rPr>
      </w:pPr>
    </w:p>
    <w:p w:rsidR="00767A39" w:rsidRDefault="00767A39" w:rsidP="00111E66">
      <w:pPr>
        <w:spacing w:line="480" w:lineRule="auto"/>
        <w:rPr>
          <w:rFonts w:ascii="Times New Roman" w:hAnsi="Times New Roman" w:cs="Times New Roman"/>
          <w:sz w:val="24"/>
          <w:szCs w:val="24"/>
        </w:rPr>
      </w:pPr>
    </w:p>
    <w:p w:rsidR="00767A39" w:rsidRDefault="00767A39" w:rsidP="00111E66">
      <w:pPr>
        <w:spacing w:line="480" w:lineRule="auto"/>
        <w:rPr>
          <w:rFonts w:ascii="Times New Roman" w:hAnsi="Times New Roman" w:cs="Times New Roman"/>
          <w:sz w:val="24"/>
          <w:szCs w:val="24"/>
        </w:rPr>
      </w:pPr>
    </w:p>
    <w:p w:rsidR="00767A39" w:rsidRDefault="00767A39" w:rsidP="00111E66">
      <w:pPr>
        <w:spacing w:line="480" w:lineRule="auto"/>
        <w:rPr>
          <w:rFonts w:ascii="Times New Roman" w:hAnsi="Times New Roman" w:cs="Times New Roman"/>
          <w:sz w:val="24"/>
          <w:szCs w:val="24"/>
        </w:rPr>
      </w:pPr>
    </w:p>
    <w:p w:rsidR="00767A39" w:rsidRDefault="00767A39" w:rsidP="00111E66">
      <w:pPr>
        <w:spacing w:line="480" w:lineRule="auto"/>
        <w:rPr>
          <w:rFonts w:ascii="Times New Roman" w:hAnsi="Times New Roman" w:cs="Times New Roman"/>
          <w:sz w:val="24"/>
          <w:szCs w:val="24"/>
        </w:rPr>
      </w:pPr>
    </w:p>
    <w:p w:rsidR="00430AE6" w:rsidRPr="00767A39" w:rsidRDefault="00430AE6" w:rsidP="00767A39">
      <w:pPr>
        <w:spacing w:line="480" w:lineRule="auto"/>
        <w:jc w:val="center"/>
        <w:rPr>
          <w:rFonts w:ascii="Times New Roman" w:hAnsi="Times New Roman" w:cs="Times New Roman"/>
          <w:b/>
          <w:sz w:val="24"/>
          <w:szCs w:val="24"/>
        </w:rPr>
      </w:pPr>
      <w:r w:rsidRPr="00767A39">
        <w:rPr>
          <w:rFonts w:ascii="Times New Roman" w:hAnsi="Times New Roman" w:cs="Times New Roman"/>
          <w:b/>
          <w:sz w:val="24"/>
          <w:szCs w:val="24"/>
        </w:rPr>
        <w:lastRenderedPageBreak/>
        <w:t>References</w:t>
      </w:r>
    </w:p>
    <w:p w:rsidR="00875F95" w:rsidRPr="00111E66" w:rsidRDefault="00875F95" w:rsidP="00111E66">
      <w:pPr>
        <w:spacing w:line="480" w:lineRule="auto"/>
        <w:rPr>
          <w:rFonts w:ascii="Times New Roman" w:hAnsi="Times New Roman" w:cs="Times New Roman"/>
          <w:sz w:val="24"/>
          <w:szCs w:val="24"/>
        </w:rPr>
      </w:pPr>
      <w:proofErr w:type="spellStart"/>
      <w:r w:rsidRPr="00111E66">
        <w:rPr>
          <w:rFonts w:ascii="Times New Roman" w:hAnsi="Times New Roman" w:cs="Times New Roman"/>
          <w:sz w:val="24"/>
          <w:szCs w:val="24"/>
        </w:rPr>
        <w:t>Awino</w:t>
      </w:r>
      <w:proofErr w:type="spellEnd"/>
      <w:r w:rsidRPr="00111E66">
        <w:rPr>
          <w:rFonts w:ascii="Times New Roman" w:hAnsi="Times New Roman" w:cs="Times New Roman"/>
          <w:sz w:val="24"/>
          <w:szCs w:val="24"/>
        </w:rPr>
        <w:t xml:space="preserve">, Z. (2015). </w:t>
      </w:r>
      <w:r w:rsidRPr="00767A39">
        <w:rPr>
          <w:rFonts w:ascii="Times New Roman" w:hAnsi="Times New Roman" w:cs="Times New Roman"/>
          <w:i/>
          <w:sz w:val="24"/>
          <w:szCs w:val="24"/>
        </w:rPr>
        <w:t xml:space="preserve">Organizational Structure and Performance </w:t>
      </w:r>
      <w:r w:rsidR="00767A39">
        <w:rPr>
          <w:rFonts w:ascii="Times New Roman" w:hAnsi="Times New Roman" w:cs="Times New Roman"/>
          <w:i/>
          <w:sz w:val="24"/>
          <w:szCs w:val="24"/>
        </w:rPr>
        <w:t>of Large Manufacturing Firms in</w:t>
      </w:r>
      <w:r w:rsidR="00767A39">
        <w:rPr>
          <w:rFonts w:ascii="Times New Roman" w:hAnsi="Times New Roman" w:cs="Times New Roman"/>
          <w:i/>
          <w:sz w:val="24"/>
          <w:szCs w:val="24"/>
        </w:rPr>
        <w:tab/>
      </w:r>
      <w:r w:rsidRPr="00767A39">
        <w:rPr>
          <w:rFonts w:ascii="Times New Roman" w:hAnsi="Times New Roman" w:cs="Times New Roman"/>
          <w:i/>
          <w:sz w:val="24"/>
          <w:szCs w:val="24"/>
        </w:rPr>
        <w:t>Kenya: An Empirical Investigation</w:t>
      </w:r>
      <w:r w:rsidR="00767A39">
        <w:rPr>
          <w:rFonts w:ascii="Times New Roman" w:hAnsi="Times New Roman" w:cs="Times New Roman"/>
          <w:sz w:val="24"/>
          <w:szCs w:val="24"/>
        </w:rPr>
        <w:t>. Retrieved from</w:t>
      </w:r>
      <w:r w:rsidR="00767A39">
        <w:rPr>
          <w:rFonts w:ascii="Times New Roman" w:hAnsi="Times New Roman" w:cs="Times New Roman"/>
          <w:sz w:val="24"/>
          <w:szCs w:val="24"/>
        </w:rPr>
        <w:tab/>
      </w:r>
      <w:r w:rsidRPr="00111E66">
        <w:rPr>
          <w:rFonts w:ascii="Times New Roman" w:hAnsi="Times New Roman" w:cs="Times New Roman"/>
          <w:sz w:val="24"/>
          <w:szCs w:val="24"/>
        </w:rPr>
        <w:t>http://www.academicstar.us/UploadFile/Picture/2016-3/20163285472974.pdf</w:t>
      </w:r>
    </w:p>
    <w:p w:rsidR="00875F95" w:rsidRPr="00111E66" w:rsidRDefault="00767A39" w:rsidP="00111E66">
      <w:pPr>
        <w:spacing w:line="480" w:lineRule="auto"/>
        <w:rPr>
          <w:rFonts w:ascii="Times New Roman" w:hAnsi="Times New Roman" w:cs="Times New Roman"/>
          <w:sz w:val="24"/>
          <w:szCs w:val="24"/>
        </w:rPr>
      </w:pPr>
      <w:proofErr w:type="spellStart"/>
      <w:proofErr w:type="gramStart"/>
      <w:r w:rsidRPr="00111E66">
        <w:rPr>
          <w:rFonts w:ascii="Times New Roman" w:hAnsi="Times New Roman" w:cs="Times New Roman"/>
          <w:sz w:val="24"/>
          <w:szCs w:val="24"/>
        </w:rPr>
        <w:t>Csaszar</w:t>
      </w:r>
      <w:proofErr w:type="spellEnd"/>
      <w:r w:rsidRPr="00111E66">
        <w:rPr>
          <w:rFonts w:ascii="Times New Roman" w:hAnsi="Times New Roman" w:cs="Times New Roman"/>
          <w:sz w:val="24"/>
          <w:szCs w:val="24"/>
        </w:rPr>
        <w:t>, F. (2011).</w:t>
      </w:r>
      <w:proofErr w:type="gramEnd"/>
      <w:r w:rsidRPr="00111E66">
        <w:rPr>
          <w:rFonts w:ascii="Times New Roman" w:hAnsi="Times New Roman" w:cs="Times New Roman"/>
          <w:sz w:val="24"/>
          <w:szCs w:val="24"/>
        </w:rPr>
        <w:t xml:space="preserve"> Organizational Structure as a Determinant of Performance: Evidence from</w:t>
      </w:r>
      <w:r>
        <w:rPr>
          <w:rFonts w:ascii="Times New Roman" w:hAnsi="Times New Roman" w:cs="Times New Roman"/>
          <w:sz w:val="24"/>
          <w:szCs w:val="24"/>
        </w:rPr>
        <w:tab/>
      </w:r>
      <w:r w:rsidRPr="00111E66">
        <w:rPr>
          <w:rFonts w:ascii="Times New Roman" w:hAnsi="Times New Roman" w:cs="Times New Roman"/>
          <w:sz w:val="24"/>
          <w:szCs w:val="24"/>
        </w:rPr>
        <w:t>Mutual Funds</w:t>
      </w:r>
      <w:r w:rsidR="00875F95" w:rsidRPr="00111E66">
        <w:rPr>
          <w:rFonts w:ascii="Times New Roman" w:hAnsi="Times New Roman" w:cs="Times New Roman"/>
          <w:sz w:val="24"/>
          <w:szCs w:val="24"/>
        </w:rPr>
        <w:t>. Retrieved from</w:t>
      </w:r>
      <w:r>
        <w:rPr>
          <w:rFonts w:ascii="Times New Roman" w:hAnsi="Times New Roman" w:cs="Times New Roman"/>
          <w:sz w:val="24"/>
          <w:szCs w:val="24"/>
        </w:rPr>
        <w:tab/>
      </w:r>
      <w:hyperlink r:id="rId9" w:history="1">
        <w:r w:rsidRPr="002650F0">
          <w:rPr>
            <w:rStyle w:val="Hyperlink"/>
            <w:rFonts w:ascii="Times New Roman" w:hAnsi="Times New Roman" w:cs="Times New Roman"/>
            <w:sz w:val="24"/>
            <w:szCs w:val="24"/>
          </w:rPr>
          <w:t>https://deepblue.lib.umich.edu/bitstream/handle/2027.42/91096/1969_ftp.pdf%3Bjsessi</w:t>
        </w:r>
        <w:r w:rsidRPr="002650F0">
          <w:rPr>
            <w:rStyle w:val="Hyperlink"/>
            <w:rFonts w:ascii="Times New Roman" w:hAnsi="Times New Roman" w:cs="Times New Roman"/>
            <w:sz w:val="24"/>
            <w:szCs w:val="24"/>
          </w:rPr>
          <w:tab/>
          <w:t>nid%3DDEC686F1F2795DF9A1AE5A3A05379EBC?sequence%3D1</w:t>
        </w:r>
      </w:hyperlink>
    </w:p>
    <w:p w:rsidR="00875F95" w:rsidRPr="00111E66" w:rsidRDefault="00875F95" w:rsidP="00111E66">
      <w:pPr>
        <w:spacing w:line="480" w:lineRule="auto"/>
        <w:rPr>
          <w:rFonts w:ascii="Times New Roman" w:hAnsi="Times New Roman" w:cs="Times New Roman"/>
          <w:sz w:val="24"/>
          <w:szCs w:val="24"/>
        </w:rPr>
      </w:pPr>
      <w:proofErr w:type="gramStart"/>
      <w:r w:rsidRPr="00767A39">
        <w:rPr>
          <w:rFonts w:ascii="Times New Roman" w:hAnsi="Times New Roman" w:cs="Times New Roman"/>
          <w:i/>
          <w:sz w:val="24"/>
          <w:szCs w:val="24"/>
        </w:rPr>
        <w:t>David Jones 2011 Annual Report</w:t>
      </w:r>
      <w:r w:rsidRPr="00111E66">
        <w:rPr>
          <w:rFonts w:ascii="Times New Roman" w:hAnsi="Times New Roman" w:cs="Times New Roman"/>
          <w:sz w:val="24"/>
          <w:szCs w:val="24"/>
        </w:rPr>
        <w:t>.</w:t>
      </w:r>
      <w:proofErr w:type="gramEnd"/>
      <w:r w:rsidRPr="00111E66">
        <w:rPr>
          <w:rFonts w:ascii="Times New Roman" w:hAnsi="Times New Roman" w:cs="Times New Roman"/>
          <w:sz w:val="24"/>
          <w:szCs w:val="24"/>
        </w:rPr>
        <w:t xml:space="preserve"> (2011). Retrieved from</w:t>
      </w:r>
      <w:r w:rsidR="00767A39">
        <w:rPr>
          <w:rFonts w:ascii="Times New Roman" w:hAnsi="Times New Roman" w:cs="Times New Roman"/>
          <w:sz w:val="24"/>
          <w:szCs w:val="24"/>
        </w:rPr>
        <w:tab/>
      </w:r>
      <w:hyperlink r:id="rId10" w:history="1">
        <w:r w:rsidRPr="00111E66">
          <w:rPr>
            <w:rStyle w:val="Hyperlink"/>
            <w:rFonts w:ascii="Times New Roman" w:hAnsi="Times New Roman" w:cs="Times New Roman"/>
            <w:sz w:val="24"/>
            <w:szCs w:val="24"/>
          </w:rPr>
          <w:t>https://www.asx.com.au/asxpdf/20111028/pdf/4223n3594r59cg.pdf</w:t>
        </w:r>
      </w:hyperlink>
    </w:p>
    <w:p w:rsidR="00875F95" w:rsidRPr="00111E66" w:rsidRDefault="00875F95" w:rsidP="00111E66">
      <w:pPr>
        <w:spacing w:line="480" w:lineRule="auto"/>
        <w:rPr>
          <w:rFonts w:ascii="Times New Roman" w:hAnsi="Times New Roman" w:cs="Times New Roman"/>
          <w:sz w:val="24"/>
          <w:szCs w:val="24"/>
        </w:rPr>
      </w:pPr>
      <w:r w:rsidRPr="00767A39">
        <w:rPr>
          <w:rFonts w:ascii="Times New Roman" w:hAnsi="Times New Roman" w:cs="Times New Roman"/>
          <w:i/>
          <w:sz w:val="24"/>
          <w:szCs w:val="24"/>
        </w:rPr>
        <w:t>David Jones Ltd (DJS) Financial Ratios - Investing.com AU</w:t>
      </w:r>
      <w:r w:rsidRPr="00111E66">
        <w:rPr>
          <w:rFonts w:ascii="Times New Roman" w:hAnsi="Times New Roman" w:cs="Times New Roman"/>
          <w:sz w:val="24"/>
          <w:szCs w:val="24"/>
        </w:rPr>
        <w:t>. (2014). Retrieved from</w:t>
      </w:r>
      <w:r w:rsidR="00767A39">
        <w:rPr>
          <w:rFonts w:ascii="Times New Roman" w:hAnsi="Times New Roman" w:cs="Times New Roman"/>
          <w:sz w:val="24"/>
          <w:szCs w:val="24"/>
        </w:rPr>
        <w:tab/>
      </w:r>
      <w:hyperlink r:id="rId11" w:history="1">
        <w:r w:rsidRPr="00111E66">
          <w:rPr>
            <w:rStyle w:val="Hyperlink"/>
            <w:rFonts w:ascii="Times New Roman" w:hAnsi="Times New Roman" w:cs="Times New Roman"/>
            <w:sz w:val="24"/>
            <w:szCs w:val="24"/>
          </w:rPr>
          <w:t>https://au.investing.com/equities/d-jones-ltd-ratios</w:t>
        </w:r>
      </w:hyperlink>
    </w:p>
    <w:p w:rsidR="00DE78BE" w:rsidRPr="00111E66" w:rsidRDefault="00DE78BE" w:rsidP="00111E66">
      <w:pPr>
        <w:spacing w:line="480" w:lineRule="auto"/>
        <w:rPr>
          <w:rFonts w:ascii="Times New Roman" w:hAnsi="Times New Roman" w:cs="Times New Roman"/>
          <w:sz w:val="24"/>
          <w:szCs w:val="24"/>
        </w:rPr>
      </w:pPr>
      <w:proofErr w:type="spellStart"/>
      <w:r w:rsidRPr="00111E66">
        <w:rPr>
          <w:rFonts w:ascii="Times New Roman" w:hAnsi="Times New Roman" w:cs="Times New Roman"/>
          <w:sz w:val="24"/>
          <w:szCs w:val="24"/>
        </w:rPr>
        <w:t>Llopis</w:t>
      </w:r>
      <w:proofErr w:type="spellEnd"/>
      <w:r w:rsidRPr="00111E66">
        <w:rPr>
          <w:rFonts w:ascii="Times New Roman" w:hAnsi="Times New Roman" w:cs="Times New Roman"/>
          <w:sz w:val="24"/>
          <w:szCs w:val="24"/>
        </w:rPr>
        <w:t xml:space="preserve">, O. (2013). </w:t>
      </w:r>
      <w:r w:rsidRPr="00767A39">
        <w:rPr>
          <w:rFonts w:ascii="Times New Roman" w:hAnsi="Times New Roman" w:cs="Times New Roman"/>
          <w:i/>
          <w:sz w:val="24"/>
          <w:szCs w:val="24"/>
        </w:rPr>
        <w:t xml:space="preserve">Managers' </w:t>
      </w:r>
      <w:r w:rsidR="00767A39" w:rsidRPr="00767A39">
        <w:rPr>
          <w:rFonts w:ascii="Times New Roman" w:hAnsi="Times New Roman" w:cs="Times New Roman"/>
          <w:i/>
          <w:sz w:val="24"/>
          <w:szCs w:val="24"/>
        </w:rPr>
        <w:t>Risk Taking Propensity and Innovation in</w:t>
      </w:r>
      <w:r w:rsidR="00767A39">
        <w:rPr>
          <w:rFonts w:ascii="Times New Roman" w:hAnsi="Times New Roman" w:cs="Times New Roman"/>
          <w:i/>
          <w:sz w:val="24"/>
          <w:szCs w:val="24"/>
        </w:rPr>
        <w:t xml:space="preserve"> Organizations: The</w:t>
      </w:r>
      <w:r w:rsidR="00767A39">
        <w:rPr>
          <w:rFonts w:ascii="Times New Roman" w:hAnsi="Times New Roman" w:cs="Times New Roman"/>
          <w:i/>
          <w:sz w:val="24"/>
          <w:szCs w:val="24"/>
        </w:rPr>
        <w:tab/>
      </w:r>
      <w:r w:rsidR="00767A39" w:rsidRPr="00767A39">
        <w:rPr>
          <w:rFonts w:ascii="Times New Roman" w:hAnsi="Times New Roman" w:cs="Times New Roman"/>
          <w:i/>
          <w:sz w:val="24"/>
          <w:szCs w:val="24"/>
        </w:rPr>
        <w:t>Mediating Influence of Employees' Perceived Risk Taking Climate</w:t>
      </w:r>
      <w:r w:rsidR="00767A39" w:rsidRPr="00111E66">
        <w:rPr>
          <w:rFonts w:ascii="Times New Roman" w:hAnsi="Times New Roman" w:cs="Times New Roman"/>
          <w:sz w:val="24"/>
          <w:szCs w:val="24"/>
        </w:rPr>
        <w:t xml:space="preserve">. </w:t>
      </w:r>
      <w:r w:rsidRPr="00111E66">
        <w:rPr>
          <w:rFonts w:ascii="Times New Roman" w:hAnsi="Times New Roman" w:cs="Times New Roman"/>
          <w:sz w:val="24"/>
          <w:szCs w:val="24"/>
        </w:rPr>
        <w:t>Retrieved from</w:t>
      </w:r>
      <w:r w:rsidR="00767A39">
        <w:rPr>
          <w:rFonts w:ascii="Times New Roman" w:hAnsi="Times New Roman" w:cs="Times New Roman"/>
          <w:sz w:val="24"/>
          <w:szCs w:val="24"/>
        </w:rPr>
        <w:tab/>
      </w:r>
      <w:hyperlink r:id="rId12" w:history="1">
        <w:r w:rsidRPr="00111E66">
          <w:rPr>
            <w:rStyle w:val="Hyperlink"/>
            <w:rFonts w:ascii="Times New Roman" w:hAnsi="Times New Roman" w:cs="Times New Roman"/>
            <w:sz w:val="24"/>
            <w:szCs w:val="24"/>
          </w:rPr>
          <w:t>http://digital.csic.es/bitstream/10261/107958/1/Managers%20risk%20taking.pdf</w:t>
        </w:r>
      </w:hyperlink>
    </w:p>
    <w:p w:rsidR="00DE78BE" w:rsidRPr="00111E66" w:rsidRDefault="00DE78BE" w:rsidP="00111E66">
      <w:pPr>
        <w:spacing w:line="480" w:lineRule="auto"/>
        <w:rPr>
          <w:rFonts w:ascii="Times New Roman" w:hAnsi="Times New Roman" w:cs="Times New Roman"/>
          <w:sz w:val="24"/>
          <w:szCs w:val="24"/>
        </w:rPr>
      </w:pPr>
      <w:proofErr w:type="spellStart"/>
      <w:proofErr w:type="gramStart"/>
      <w:r w:rsidRPr="00111E66">
        <w:rPr>
          <w:rFonts w:ascii="Times New Roman" w:hAnsi="Times New Roman" w:cs="Times New Roman"/>
          <w:sz w:val="24"/>
          <w:szCs w:val="24"/>
        </w:rPr>
        <w:t>Shabbir</w:t>
      </w:r>
      <w:proofErr w:type="spellEnd"/>
      <w:r w:rsidRPr="00111E66">
        <w:rPr>
          <w:rFonts w:ascii="Times New Roman" w:hAnsi="Times New Roman" w:cs="Times New Roman"/>
          <w:sz w:val="24"/>
          <w:szCs w:val="24"/>
        </w:rPr>
        <w:t>, M. (2017).</w:t>
      </w:r>
      <w:proofErr w:type="gramEnd"/>
      <w:r w:rsidRPr="00111E66">
        <w:rPr>
          <w:rFonts w:ascii="Times New Roman" w:hAnsi="Times New Roman" w:cs="Times New Roman"/>
          <w:sz w:val="24"/>
          <w:szCs w:val="24"/>
        </w:rPr>
        <w:t xml:space="preserve"> </w:t>
      </w:r>
      <w:r w:rsidRPr="00767A39">
        <w:rPr>
          <w:rFonts w:ascii="Times New Roman" w:hAnsi="Times New Roman" w:cs="Times New Roman"/>
          <w:i/>
          <w:sz w:val="24"/>
          <w:szCs w:val="24"/>
        </w:rPr>
        <w:t xml:space="preserve">Organizational Structure and Employee’s </w:t>
      </w:r>
      <w:r w:rsidR="00767A39">
        <w:rPr>
          <w:rFonts w:ascii="Times New Roman" w:hAnsi="Times New Roman" w:cs="Times New Roman"/>
          <w:i/>
          <w:sz w:val="24"/>
          <w:szCs w:val="24"/>
        </w:rPr>
        <w:t>Performance: A Study of Brewing</w:t>
      </w:r>
      <w:r w:rsidR="00767A39">
        <w:rPr>
          <w:rFonts w:ascii="Times New Roman" w:hAnsi="Times New Roman" w:cs="Times New Roman"/>
          <w:i/>
          <w:sz w:val="24"/>
          <w:szCs w:val="24"/>
        </w:rPr>
        <w:tab/>
      </w:r>
      <w:r w:rsidRPr="00767A39">
        <w:rPr>
          <w:rFonts w:ascii="Times New Roman" w:hAnsi="Times New Roman" w:cs="Times New Roman"/>
          <w:i/>
          <w:sz w:val="24"/>
          <w:szCs w:val="24"/>
        </w:rPr>
        <w:t xml:space="preserve">Firms in Nigeria. </w:t>
      </w:r>
      <w:r w:rsidRPr="00111E66">
        <w:rPr>
          <w:rFonts w:ascii="Times New Roman" w:hAnsi="Times New Roman" w:cs="Times New Roman"/>
          <w:sz w:val="24"/>
          <w:szCs w:val="24"/>
        </w:rPr>
        <w:t xml:space="preserve">Retrieved from </w:t>
      </w:r>
      <w:hyperlink r:id="rId13" w:history="1">
        <w:r w:rsidRPr="00111E66">
          <w:rPr>
            <w:rStyle w:val="Hyperlink"/>
            <w:rFonts w:ascii="Times New Roman" w:hAnsi="Times New Roman" w:cs="Times New Roman"/>
            <w:sz w:val="24"/>
            <w:szCs w:val="24"/>
          </w:rPr>
          <w:t>https://www.arjonline.org/papers/arjbm/v3-i1/6.pdf</w:t>
        </w:r>
      </w:hyperlink>
    </w:p>
    <w:p w:rsidR="00470132" w:rsidRPr="00111E66" w:rsidRDefault="00470132" w:rsidP="00111E66">
      <w:pPr>
        <w:spacing w:line="480" w:lineRule="auto"/>
        <w:rPr>
          <w:rFonts w:ascii="Times New Roman" w:hAnsi="Times New Roman" w:cs="Times New Roman"/>
          <w:sz w:val="24"/>
          <w:szCs w:val="24"/>
        </w:rPr>
      </w:pPr>
      <w:r w:rsidRPr="00767A39">
        <w:rPr>
          <w:rFonts w:ascii="Times New Roman" w:hAnsi="Times New Roman" w:cs="Times New Roman"/>
          <w:i/>
          <w:sz w:val="24"/>
          <w:szCs w:val="24"/>
        </w:rPr>
        <w:t>Woolworths.</w:t>
      </w:r>
      <w:r w:rsidRPr="00111E66">
        <w:rPr>
          <w:rFonts w:ascii="Times New Roman" w:hAnsi="Times New Roman" w:cs="Times New Roman"/>
          <w:sz w:val="24"/>
          <w:szCs w:val="24"/>
        </w:rPr>
        <w:t xml:space="preserve"> (2016). Retrieved from </w:t>
      </w:r>
      <w:hyperlink r:id="rId14" w:history="1">
        <w:r w:rsidR="00767A39" w:rsidRPr="002650F0">
          <w:rPr>
            <w:rStyle w:val="Hyperlink"/>
            <w:rFonts w:ascii="Times New Roman" w:hAnsi="Times New Roman" w:cs="Times New Roman"/>
            <w:sz w:val="24"/>
            <w:szCs w:val="24"/>
          </w:rPr>
          <w:t>http://www.compcom.co.za/wp</w:t>
        </w:r>
        <w:r w:rsidR="00767A39" w:rsidRPr="002650F0">
          <w:rPr>
            <w:rStyle w:val="Hyperlink"/>
            <w:rFonts w:ascii="Times New Roman" w:hAnsi="Times New Roman" w:cs="Times New Roman"/>
            <w:sz w:val="24"/>
            <w:szCs w:val="24"/>
          </w:rPr>
          <w:tab/>
          <w:t>content/uploads/2016/09/Woolworths-Submissions-Non-Confidential-Version.pdf</w:t>
        </w:r>
      </w:hyperlink>
    </w:p>
    <w:p w:rsidR="00470132" w:rsidRPr="00111E66" w:rsidRDefault="00470132" w:rsidP="00111E66">
      <w:pPr>
        <w:spacing w:line="480" w:lineRule="auto"/>
        <w:rPr>
          <w:rFonts w:ascii="Times New Roman" w:hAnsi="Times New Roman" w:cs="Times New Roman"/>
          <w:sz w:val="24"/>
          <w:szCs w:val="24"/>
        </w:rPr>
      </w:pPr>
    </w:p>
    <w:sectPr w:rsidR="00470132" w:rsidRPr="00111E66" w:rsidSect="00111E66">
      <w:head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896" w:rsidRDefault="00B64896" w:rsidP="00111E66">
      <w:pPr>
        <w:spacing w:after="0" w:line="240" w:lineRule="auto"/>
      </w:pPr>
      <w:r>
        <w:separator/>
      </w:r>
    </w:p>
  </w:endnote>
  <w:endnote w:type="continuationSeparator" w:id="0">
    <w:p w:rsidR="00B64896" w:rsidRDefault="00B64896" w:rsidP="00111E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896" w:rsidRDefault="00B64896" w:rsidP="00111E66">
      <w:pPr>
        <w:spacing w:after="0" w:line="240" w:lineRule="auto"/>
      </w:pPr>
      <w:r>
        <w:separator/>
      </w:r>
    </w:p>
  </w:footnote>
  <w:footnote w:type="continuationSeparator" w:id="0">
    <w:p w:rsidR="00B64896" w:rsidRDefault="00B64896" w:rsidP="00111E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E66" w:rsidRPr="00111E66" w:rsidRDefault="00111E66">
    <w:pPr>
      <w:pStyle w:val="Header"/>
      <w:rPr>
        <w:rFonts w:ascii="Times New Roman" w:hAnsi="Times New Roman" w:cs="Times New Roman"/>
        <w:sz w:val="24"/>
        <w:szCs w:val="24"/>
      </w:rPr>
    </w:pPr>
    <w:r w:rsidRPr="00111E66">
      <w:rPr>
        <w:rFonts w:ascii="Times New Roman" w:hAnsi="Times New Roman" w:cs="Times New Roman"/>
        <w:sz w:val="24"/>
        <w:szCs w:val="24"/>
      </w:rPr>
      <w:t>ORGANIZATIONAL STRUC</w:t>
    </w:r>
    <w:r>
      <w:rPr>
        <w:rFonts w:ascii="Times New Roman" w:hAnsi="Times New Roman" w:cs="Times New Roman"/>
        <w:sz w:val="24"/>
        <w:szCs w:val="24"/>
      </w:rPr>
      <w:t>T</w:t>
    </w:r>
    <w:r w:rsidRPr="00111E66">
      <w:rPr>
        <w:rFonts w:ascii="Times New Roman" w:hAnsi="Times New Roman" w:cs="Times New Roman"/>
        <w:sz w:val="24"/>
        <w:szCs w:val="24"/>
      </w:rPr>
      <w:t xml:space="preserve">URE AND FINANCIAL MODEL – DAVID JONES </w:t>
    </w:r>
    <w:r>
      <w:rPr>
        <w:rFonts w:ascii="Times New Roman" w:hAnsi="Times New Roman" w:cs="Times New Roman"/>
        <w:sz w:val="24"/>
        <w:szCs w:val="24"/>
      </w:rPr>
      <w:tab/>
    </w:r>
    <w:r>
      <w:rPr>
        <w:rFonts w:ascii="Times New Roman" w:hAnsi="Times New Roman" w:cs="Times New Roman"/>
        <w:sz w:val="24"/>
        <w:szCs w:val="24"/>
      </w:rPr>
      <w:tab/>
    </w:r>
    <w:r w:rsidRPr="00111E66">
      <w:rPr>
        <w:rFonts w:ascii="Times New Roman" w:hAnsi="Times New Roman" w:cs="Times New Roman"/>
        <w:sz w:val="24"/>
        <w:szCs w:val="24"/>
      </w:rPr>
      <w:fldChar w:fldCharType="begin"/>
    </w:r>
    <w:r w:rsidRPr="00111E66">
      <w:rPr>
        <w:rFonts w:ascii="Times New Roman" w:hAnsi="Times New Roman" w:cs="Times New Roman"/>
        <w:sz w:val="24"/>
        <w:szCs w:val="24"/>
      </w:rPr>
      <w:instrText xml:space="preserve"> PAGE   \* MERGEFORMAT </w:instrText>
    </w:r>
    <w:r w:rsidRPr="00111E66">
      <w:rPr>
        <w:rFonts w:ascii="Times New Roman" w:hAnsi="Times New Roman" w:cs="Times New Roman"/>
        <w:sz w:val="24"/>
        <w:szCs w:val="24"/>
      </w:rPr>
      <w:fldChar w:fldCharType="separate"/>
    </w:r>
    <w:r w:rsidR="00767A39">
      <w:rPr>
        <w:rFonts w:ascii="Times New Roman" w:hAnsi="Times New Roman" w:cs="Times New Roman"/>
        <w:noProof/>
        <w:sz w:val="24"/>
        <w:szCs w:val="24"/>
      </w:rPr>
      <w:t>2</w:t>
    </w:r>
    <w:r w:rsidRPr="00111E66">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E66" w:rsidRPr="00111E66" w:rsidRDefault="00111E66">
    <w:pPr>
      <w:pStyle w:val="Header"/>
      <w:rPr>
        <w:rFonts w:ascii="Times New Roman" w:hAnsi="Times New Roman" w:cs="Times New Roman"/>
        <w:sz w:val="24"/>
        <w:szCs w:val="24"/>
      </w:rPr>
    </w:pPr>
    <w:r w:rsidRPr="00111E66">
      <w:rPr>
        <w:rFonts w:ascii="Times New Roman" w:hAnsi="Times New Roman" w:cs="Times New Roman"/>
        <w:sz w:val="24"/>
        <w:szCs w:val="24"/>
      </w:rPr>
      <w:t>Running head: ORGANIZATIONAL STRUC</w:t>
    </w:r>
    <w:r>
      <w:rPr>
        <w:rFonts w:ascii="Times New Roman" w:hAnsi="Times New Roman" w:cs="Times New Roman"/>
        <w:sz w:val="24"/>
        <w:szCs w:val="24"/>
      </w:rPr>
      <w:t>T</w:t>
    </w:r>
    <w:r w:rsidRPr="00111E66">
      <w:rPr>
        <w:rFonts w:ascii="Times New Roman" w:hAnsi="Times New Roman" w:cs="Times New Roman"/>
        <w:sz w:val="24"/>
        <w:szCs w:val="24"/>
      </w:rPr>
      <w:t xml:space="preserve">URE AND FINANCIAL MODEL – DAVID JONES </w:t>
    </w:r>
    <w:r>
      <w:rPr>
        <w:rFonts w:ascii="Times New Roman" w:hAnsi="Times New Roman" w:cs="Times New Roman"/>
        <w:sz w:val="24"/>
        <w:szCs w:val="24"/>
      </w:rPr>
      <w:tab/>
    </w:r>
    <w:r>
      <w:rPr>
        <w:rFonts w:ascii="Times New Roman" w:hAnsi="Times New Roman" w:cs="Times New Roman"/>
        <w:sz w:val="24"/>
        <w:szCs w:val="24"/>
      </w:rPr>
      <w:tab/>
    </w:r>
    <w:r w:rsidRPr="00111E66">
      <w:rPr>
        <w:rFonts w:ascii="Times New Roman" w:hAnsi="Times New Roman" w:cs="Times New Roman"/>
        <w:sz w:val="24"/>
        <w:szCs w:val="24"/>
      </w:rPr>
      <w:fldChar w:fldCharType="begin"/>
    </w:r>
    <w:r w:rsidRPr="00111E66">
      <w:rPr>
        <w:rFonts w:ascii="Times New Roman" w:hAnsi="Times New Roman" w:cs="Times New Roman"/>
        <w:sz w:val="24"/>
        <w:szCs w:val="24"/>
      </w:rPr>
      <w:instrText xml:space="preserve"> PAGE   \* MERGEFORMAT </w:instrText>
    </w:r>
    <w:r w:rsidRPr="00111E66">
      <w:rPr>
        <w:rFonts w:ascii="Times New Roman" w:hAnsi="Times New Roman" w:cs="Times New Roman"/>
        <w:sz w:val="24"/>
        <w:szCs w:val="24"/>
      </w:rPr>
      <w:fldChar w:fldCharType="separate"/>
    </w:r>
    <w:r w:rsidR="00767A39">
      <w:rPr>
        <w:rFonts w:ascii="Times New Roman" w:hAnsi="Times New Roman" w:cs="Times New Roman"/>
        <w:noProof/>
        <w:sz w:val="24"/>
        <w:szCs w:val="24"/>
      </w:rPr>
      <w:t>1</w:t>
    </w:r>
    <w:r w:rsidRPr="00111E66">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B3F2B"/>
    <w:rsid w:val="00020567"/>
    <w:rsid w:val="000C1000"/>
    <w:rsid w:val="00111E66"/>
    <w:rsid w:val="00116F58"/>
    <w:rsid w:val="002065C1"/>
    <w:rsid w:val="002230C8"/>
    <w:rsid w:val="00236321"/>
    <w:rsid w:val="002612B8"/>
    <w:rsid w:val="002679FE"/>
    <w:rsid w:val="002B16EA"/>
    <w:rsid w:val="002D4CF5"/>
    <w:rsid w:val="00315BE0"/>
    <w:rsid w:val="003178C4"/>
    <w:rsid w:val="00332312"/>
    <w:rsid w:val="00385D4E"/>
    <w:rsid w:val="003F0926"/>
    <w:rsid w:val="00430AE6"/>
    <w:rsid w:val="00470132"/>
    <w:rsid w:val="00485D46"/>
    <w:rsid w:val="004A51EA"/>
    <w:rsid w:val="004B05B5"/>
    <w:rsid w:val="00554D76"/>
    <w:rsid w:val="006A7A35"/>
    <w:rsid w:val="006B3F2B"/>
    <w:rsid w:val="00717204"/>
    <w:rsid w:val="007432D1"/>
    <w:rsid w:val="00767A39"/>
    <w:rsid w:val="007A2613"/>
    <w:rsid w:val="007B736F"/>
    <w:rsid w:val="007C55B7"/>
    <w:rsid w:val="008109E6"/>
    <w:rsid w:val="00875F95"/>
    <w:rsid w:val="00891426"/>
    <w:rsid w:val="008B4B57"/>
    <w:rsid w:val="00900C55"/>
    <w:rsid w:val="00927176"/>
    <w:rsid w:val="00965AA4"/>
    <w:rsid w:val="009829C2"/>
    <w:rsid w:val="009F0D2A"/>
    <w:rsid w:val="00A012B5"/>
    <w:rsid w:val="00A05B3E"/>
    <w:rsid w:val="00AD3A25"/>
    <w:rsid w:val="00B64896"/>
    <w:rsid w:val="00BD7BAB"/>
    <w:rsid w:val="00C1022A"/>
    <w:rsid w:val="00C272C4"/>
    <w:rsid w:val="00CA24D2"/>
    <w:rsid w:val="00CF7F8C"/>
    <w:rsid w:val="00D2720F"/>
    <w:rsid w:val="00D55041"/>
    <w:rsid w:val="00DE78BE"/>
    <w:rsid w:val="00E24341"/>
    <w:rsid w:val="00E45B70"/>
    <w:rsid w:val="00E71C3E"/>
    <w:rsid w:val="00E95BD4"/>
    <w:rsid w:val="00ED3F2F"/>
    <w:rsid w:val="00F40DAC"/>
    <w:rsid w:val="00F610DF"/>
    <w:rsid w:val="00FF2657"/>
    <w:rsid w:val="00FF3F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5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0AE6"/>
    <w:rPr>
      <w:color w:val="0000FF" w:themeColor="hyperlink"/>
      <w:u w:val="single"/>
    </w:rPr>
  </w:style>
  <w:style w:type="paragraph" w:styleId="Header">
    <w:name w:val="header"/>
    <w:basedOn w:val="Normal"/>
    <w:link w:val="HeaderChar"/>
    <w:uiPriority w:val="99"/>
    <w:semiHidden/>
    <w:unhideWhenUsed/>
    <w:rsid w:val="00111E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1E66"/>
  </w:style>
  <w:style w:type="paragraph" w:styleId="Footer">
    <w:name w:val="footer"/>
    <w:basedOn w:val="Normal"/>
    <w:link w:val="FooterChar"/>
    <w:uiPriority w:val="99"/>
    <w:semiHidden/>
    <w:unhideWhenUsed/>
    <w:rsid w:val="00111E6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11E66"/>
  </w:style>
</w:styles>
</file>

<file path=word/webSettings.xml><?xml version="1.0" encoding="utf-8"?>
<w:webSettings xmlns:r="http://schemas.openxmlformats.org/officeDocument/2006/relationships" xmlns:w="http://schemas.openxmlformats.org/wordprocessingml/2006/main">
  <w:divs>
    <w:div w:id="1046445878">
      <w:bodyDiv w:val="1"/>
      <w:marLeft w:val="0"/>
      <w:marRight w:val="0"/>
      <w:marTop w:val="0"/>
      <w:marBottom w:val="0"/>
      <w:divBdr>
        <w:top w:val="none" w:sz="0" w:space="0" w:color="auto"/>
        <w:left w:val="none" w:sz="0" w:space="0" w:color="auto"/>
        <w:bottom w:val="none" w:sz="0" w:space="0" w:color="auto"/>
        <w:right w:val="none" w:sz="0" w:space="0" w:color="auto"/>
      </w:divBdr>
    </w:div>
    <w:div w:id="1087072167">
      <w:bodyDiv w:val="1"/>
      <w:marLeft w:val="0"/>
      <w:marRight w:val="0"/>
      <w:marTop w:val="0"/>
      <w:marBottom w:val="0"/>
      <w:divBdr>
        <w:top w:val="none" w:sz="0" w:space="0" w:color="auto"/>
        <w:left w:val="none" w:sz="0" w:space="0" w:color="auto"/>
        <w:bottom w:val="none" w:sz="0" w:space="0" w:color="auto"/>
        <w:right w:val="none" w:sz="0" w:space="0" w:color="auto"/>
      </w:divBdr>
    </w:div>
    <w:div w:id="203792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u.investing.com/equities/d-jones-ltd-ratios" TargetMode="External"/><Relationship Id="rId13" Type="http://schemas.openxmlformats.org/officeDocument/2006/relationships/hyperlink" Target="https://www.arjonline.org/papers/arjbm/v3-i1/6.pd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u.investing.com/equities/d-jones-ltd-ratios" TargetMode="External"/><Relationship Id="rId12" Type="http://schemas.openxmlformats.org/officeDocument/2006/relationships/hyperlink" Target="http://digital.csic.es/bitstream/10261/107958/1/Managers%20risk%20taking.pd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au.investing.com/equities/d-jones-ltd-ratios" TargetMode="External"/><Relationship Id="rId11" Type="http://schemas.openxmlformats.org/officeDocument/2006/relationships/hyperlink" Target="https://au.investing.com/equities/d-jones-ltd-ratios"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asx.com.au/asxpdf/20111028/pdf/4223n3594r59cg.pdf" TargetMode="External"/><Relationship Id="rId4" Type="http://schemas.openxmlformats.org/officeDocument/2006/relationships/footnotes" Target="footnotes.xml"/><Relationship Id="rId9" Type="http://schemas.openxmlformats.org/officeDocument/2006/relationships/hyperlink" Target="https://deepblue.lib.umich.edu/bitstream/handle/2027.42/91096/1969_ftp.pdf%3Bjsessi%09nid%3DDEC686F1F2795DF9A1AE5A3A05379EBC?sequence%3D1" TargetMode="External"/><Relationship Id="rId14" Type="http://schemas.openxmlformats.org/officeDocument/2006/relationships/hyperlink" Target="http://www.compcom.co.za/wp%09content/uploads/2016/09/Woolworths-Submissions-Non-Confidential-Vers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1242</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2018-08-28T21:31:00Z</dcterms:created>
  <dcterms:modified xsi:type="dcterms:W3CDTF">2018-08-28T21:31:00Z</dcterms:modified>
</cp:coreProperties>
</file>