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Case Study:</w:t>
      </w:r>
    </w:p>
    <w:p w:rsidR="00000000" w:rsidDel="00000000" w:rsidP="00000000" w:rsidRDefault="00000000" w:rsidRPr="00000000" w14:paraId="0000000B">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w:t>
      </w:r>
    </w:p>
    <w:p w:rsidR="00000000" w:rsidDel="00000000" w:rsidP="00000000" w:rsidRDefault="00000000" w:rsidRPr="00000000" w14:paraId="0000000D">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17">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End-of-life care emerges as one of the most prominent issues in causing ethical dilemmas in the healthcare settings. The case of Charlie Gard who had an illness that could not be cured is one that attracted heated debates internationally. Charlie was an infant whose parents insisted to have in the life-support devices and the continuity of treatment despite being informed by healthcare practitioners that it was all futile. The parents went to a large extent of seeking a transfer from the hospital in the United Kingdom (UK) to another hospital in the United States (US) for an experimental treatment. While the UK health practitioners had the best interest of Charlie at heart in making every decision, the parents were not convinced and, therefore, thought that the practitioners were just denying their child a chance to live. After long time deliberations and lawsuits to pursue what was right for Charlie, all parties agreed to have the treatment terminated and the life-support devices were removed and the child taken to a hospice after which the child died the day that followed. The termination of treatment can be said to be the best outcome of the dilemma as it was for the best interest of Charlie and the family as death was inevitable and the futility of treatment had readily been evidenced and all that was needed was to pursue comfort and painless experiences for Charlie.</w:t>
      </w:r>
    </w:p>
    <w:p w:rsidR="00000000" w:rsidDel="00000000" w:rsidP="00000000" w:rsidRDefault="00000000" w:rsidRPr="00000000" w14:paraId="00000018">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Case Study</w:t>
      </w:r>
    </w:p>
    <w:p w:rsidR="00000000" w:rsidDel="00000000" w:rsidP="00000000" w:rsidRDefault="00000000" w:rsidRPr="00000000" w14:paraId="0000001F">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End-of-life care emerges as the most prominent issue in causing dilemmas with the healthcare settings. According to Rainer, Schneider and Lorenz (2018), end-of life care causes complex dilemmas, particularly due to technological advancements that have the capacity to prolong a patient’s life. Sometimes there is futility in prolonging the life of a patient amidst high levels of suffering and exorbitant monetary investments by family members to enable the well-being of the patient, sometimes at the expense of other important issues. Karnik and Kanekar (2016) add that the costs of the technological advancements and innovations are passed down to the consumers of healthcare services and this has implications that healthcare expenditure rises with the need for such technologies. In this light, it is important for a nurse to devise effective ways of dealing with the dilemmas of end-of-life care through the consideration of harm and benefits likely to emanate from a specific decision-making model.</w:t>
      </w:r>
    </w:p>
    <w:p w:rsidR="00000000" w:rsidDel="00000000" w:rsidP="00000000" w:rsidRDefault="00000000" w:rsidRPr="00000000" w14:paraId="00000020">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Case Study</w:t>
      </w:r>
    </w:p>
    <w:p w:rsidR="00000000" w:rsidDel="00000000" w:rsidP="00000000" w:rsidRDefault="00000000" w:rsidRPr="00000000" w14:paraId="00000021">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a nurse, I anticipate a situation where I would care for a patient with a chronic illness, such as cancer or some other kind of a complex condition. A case of consideration in the current debates is that of Charlie Gard which attracted international attention regarding the right decision that would fall within the category of ethics. Charlie was reportedly born with a mitochondria problem that could not be cured. The child was put under life-support devices when it was evident that he could not breathe sufficiently. While the physicians believed in the futility of treatment strategies, Charlie’s parents felt that there was something that could be done for a remedy. The parents resisted the removal of life-support machines and even campaigned for a funding to engage in experimental treatment for their son (Dauber, 2017). Charlie was only nine months old when the problem was detected. His case was severe as it yielded court proceedings with the healthcare practitioners demonstrating disagreement with Charlie’s parents’ idea of keeping the child in the life-support devices. </w:t>
      </w:r>
    </w:p>
    <w:p w:rsidR="00000000" w:rsidDel="00000000" w:rsidP="00000000" w:rsidRDefault="00000000" w:rsidRPr="00000000" w14:paraId="00000022">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Ethical Dilemma   </w:t>
      </w:r>
    </w:p>
    <w:p w:rsidR="00000000" w:rsidDel="00000000" w:rsidP="00000000" w:rsidRDefault="00000000" w:rsidRPr="00000000" w14:paraId="00000023">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ethical dilemma in this case includes the healthcare practitioners’ knowledge about the futility of treatment methods based on the fact that Charlie’s condition was incurable. Charlie’s parents, on the other hand, insisted on engaging in experimental treatment with hopes that the healthcare practitioners could save the life of their son. Another dilemma is that no one was sure whether Charlie was in pain or not. However, the healthcare practitioners cited probabilities of pain based on the experiences of Charlie in alignment with the illness. The fact that the boy could not express his feelings left everyone on the verge of relying on guesswork. While nurses and other healthcare practitioners have a duty to act in the best interest of a patient (Rainer et al., 2018), the incapacity of Charlie to make an appropriate end-of-life decision necessitated the intervention of the parents in the final decision. The parents’ decisions were founded on best interests for their son while the healthcare practitioners also had the best interest of the boy and the entire family in their bid to have the life support machines removed. Such is the complexity likely to be evidenced by various situations where end-of-life care is an aspect of consideration. </w:t>
      </w:r>
    </w:p>
    <w:p w:rsidR="00000000" w:rsidDel="00000000" w:rsidP="00000000" w:rsidRDefault="00000000" w:rsidRPr="00000000" w14:paraId="00000024">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Best Practices  </w:t>
      </w:r>
    </w:p>
    <w:p w:rsidR="00000000" w:rsidDel="00000000" w:rsidP="00000000" w:rsidRDefault="00000000" w:rsidRPr="00000000" w14:paraId="00000025">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In the case presented herein, everyone involved made a decision that was guided by specific motives. The parents had a desire to be with their son forever. The healthcare practitioners wanted to save the parents from the agony of spending high amounts of cash for a condition that would eventually yield death as an outcome for the patient. The legal professionals also had the best interest of the parents, the patient, and the hospital in their ruling to have the life-support devices removed and to subject the patient to palliative care (Dauber, 2017). </w:t>
      </w:r>
    </w:p>
    <w:p w:rsidR="00000000" w:rsidDel="00000000" w:rsidP="00000000" w:rsidRDefault="00000000" w:rsidRPr="00000000" w14:paraId="00000026">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the considerations of the patient’s interest, the interests of the family, and the need to ensure distributive justice in the allocation of the available resources, a best practice in issues of end-of-life require collaboration among the stakeholders involved to arrive at the most appropriate decision. The idea of applying virtue ethics emerges as an option in ensuring best practice and one that applies in guiding the teams involved in reaching an appropriate decision. Virtue ethics require an individual to do what is right in alignment with depiction of a good character (Rainer et al., 2018). In the case above, it is virtuous to do all what it takes to save the life of Charlie and this would mean doing as per the will of the parents. The implication is that Charlie should remain in the life-support device and be accorded every kind of care necessary to keep him alive. Even if death emerges as an inevitable condition as far as the child’s condition is concerned, removal of life-support devices would seem like a way of stimulating death rather than allowing it to happen naturally. </w:t>
      </w:r>
    </w:p>
    <w:p w:rsidR="00000000" w:rsidDel="00000000" w:rsidP="00000000" w:rsidRDefault="00000000" w:rsidRPr="00000000" w14:paraId="00000027">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Options for Making an Ethical Decision</w:t>
      </w:r>
    </w:p>
    <w:p w:rsidR="00000000" w:rsidDel="00000000" w:rsidP="00000000" w:rsidRDefault="00000000" w:rsidRPr="00000000" w14:paraId="00000028">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professional realm, there are various factors that inform the nurse and other healthcare practitioners about the direction to take in case of dilemmas linked to the well-being of the patient and end-of-life decisions. These four factors yield the ethical principles that guide decision-making in the healthcare settings where complex situations emerge. Autonomy is one of the aspects of consideration and which requires the nurse or other healthcare practitioners to respect the decision of a patient or his or her representatives. This entails “the patient’s right to self-determination” (Wiegand, MacMillan, dos Santos &amp; Bousso, 2015, p.144). In the case above, the parents of Charlie determined that the child ought to remain in the life-sustaining device despite being informed that the illness was incurable. </w:t>
      </w:r>
    </w:p>
    <w:p w:rsidR="00000000" w:rsidDel="00000000" w:rsidP="00000000" w:rsidRDefault="00000000" w:rsidRPr="00000000" w14:paraId="00000029">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ethical principle of nonmaleficence requires healthcare practitioners to avoid any perceived or actual harm to the patient (Guido, 2014). In Charlie’s case, the child could not express pain due to infancy but the healthcare practitioners perceived the possibilities of it. By allowing the child to undergo the trial treatment and having him remain in the life-support devices despite the deterioration of the symptoms, tis would amount to harm. The implication is that there was need to avoid to avoid any kind of action that would harm the child and add to the pain of the inevitability of death.</w:t>
      </w:r>
    </w:p>
    <w:p w:rsidR="00000000" w:rsidDel="00000000" w:rsidP="00000000" w:rsidRDefault="00000000" w:rsidRPr="00000000" w14:paraId="0000002A">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Beneficence requires a healthcare practitioner to do all that is within his or her capacity to address the interests of all involved (Guido, 2014). In Charlie’s case, the mother was informed that the illness was incurable. There was a doctor who was willing to do a trial treatment but assured the mother that the brain damage sustained by Charlie was a barrier to the success of such treatment (Dauber, 2017). The healthcare practitioners advised the mother about removing the life-sustenance device and subjecting the child to palliative care. They also advised her about the futility of attempting an experimental treatment (Hammond-Browning, 2017). All the actions involved were geared toward beneficence in the midst of a scenario whose outcome would be the death of the child. The recommendation of palliative care was particularly beneficial as the child would get all the comfort needed without the involvement of actions that would only prolong suffering amidst the perception of prolonging life.    </w:t>
      </w:r>
    </w:p>
    <w:p w:rsidR="00000000" w:rsidDel="00000000" w:rsidP="00000000" w:rsidRDefault="00000000" w:rsidRPr="00000000" w14:paraId="0000002B">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Justice is another ethical principle and one that can offer an option in reaching an ethical decisions. It calls for fairness and equity in considering the viewpoints of all the parties involved (Guido, 2014). Charlie’s case was quite enormous to an extent that it stimulated international intervention though it also entailed political arguments. The removal of life sustenance machines was opposed by various international figures, including the Pope. The healthcare practitioners were even involved in a lawsuit in their attempt to seek justice for the infant after realization that nothing could convince the mother not to attempt the experimental treatment as it was not in the best interest of the child (Hammond-Browning, 2017). </w:t>
      </w:r>
    </w:p>
    <w:p w:rsidR="00000000" w:rsidDel="00000000" w:rsidP="00000000" w:rsidRDefault="00000000" w:rsidRPr="00000000" w14:paraId="0000002C">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Analysis of the Best Ethical Outcome </w:t>
      </w:r>
    </w:p>
    <w:p w:rsidR="00000000" w:rsidDel="00000000" w:rsidP="00000000" w:rsidRDefault="00000000" w:rsidRPr="00000000" w14:paraId="0000002D">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instance where death is manifested as an inevitable phenomenon, it is only good to focus on aspects that would ensure happiness or comfort in the end-of-life care. While the United States intervened in the matter for monetary gains, the United Kingdom had Charlie’s interest in the final decision in which they wanted Charlie’s parents to be barred from transferring the child to the US. With time, the futility of interventions made to save Charlie’s life was evidenced by his deteriorating condition. Eventually, the best outcome was to terminate treatment and let the reality take its course. When treatment was finally terminated after an agreement among all those involved, including parents, it only took one day and Charlie was pronounced dead. Everything that took place, including the outcomes of legal proceedings, was geared toward addressing the interests of the patients. As stated by Hammond-Brownings (2017), the experimental treatment was being popularized for the US financial interests rather than the patient’s. As such, doing away with the treatment was the best outcome of the dilemma as there was no guarantee of Charlie’s recovery and all was required was to protect him from further pain and ensure comfort in his last days of life (Birchley, 2018; Wilkinson, 2017).</w:t>
      </w:r>
    </w:p>
    <w:p w:rsidR="00000000" w:rsidDel="00000000" w:rsidP="00000000" w:rsidRDefault="00000000" w:rsidRPr="00000000" w14:paraId="0000002E">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30">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Birchley, G. (2018). Charlie Gard and the weight of parental rights to seek experimental treatment. </w:t>
      </w:r>
      <w:r w:rsidDel="00000000" w:rsidR="00000000" w:rsidRPr="00000000">
        <w:rPr>
          <w:rFonts w:ascii="Times New Roman" w:cs="Times New Roman" w:eastAsia="Times New Roman" w:hAnsi="Times New Roman"/>
          <w:i w:val="1"/>
          <w:sz w:val="24"/>
          <w:szCs w:val="24"/>
          <w:rtl w:val="0"/>
        </w:rPr>
        <w:t xml:space="preserve">Journal of Medical Ethics, 44, </w:t>
      </w:r>
      <w:r w:rsidDel="00000000" w:rsidR="00000000" w:rsidRPr="00000000">
        <w:rPr>
          <w:rFonts w:ascii="Times New Roman" w:cs="Times New Roman" w:eastAsia="Times New Roman" w:hAnsi="Times New Roman"/>
          <w:sz w:val="24"/>
          <w:szCs w:val="24"/>
          <w:rtl w:val="0"/>
        </w:rPr>
        <w:t xml:space="preserve">448-452. </w:t>
      </w:r>
    </w:p>
    <w:p w:rsidR="00000000" w:rsidDel="00000000" w:rsidP="00000000" w:rsidRDefault="00000000" w:rsidRPr="00000000" w14:paraId="00000031">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Dauber, M. S. (2017, July 13). Why Charlie Gard’s story is so disturbing to Americans. </w:t>
      </w:r>
      <w:r w:rsidDel="00000000" w:rsidR="00000000" w:rsidRPr="00000000">
        <w:rPr>
          <w:rFonts w:ascii="Times New Roman" w:cs="Times New Roman" w:eastAsia="Times New Roman" w:hAnsi="Times New Roman"/>
          <w:i w:val="1"/>
          <w:sz w:val="24"/>
          <w:szCs w:val="24"/>
          <w:rtl w:val="0"/>
        </w:rPr>
        <w:t xml:space="preserve">Stat News. </w:t>
      </w:r>
      <w:r w:rsidDel="00000000" w:rsidR="00000000" w:rsidRPr="00000000">
        <w:rPr>
          <w:rFonts w:ascii="Times New Roman" w:cs="Times New Roman" w:eastAsia="Times New Roman" w:hAnsi="Times New Roman"/>
          <w:sz w:val="24"/>
          <w:szCs w:val="24"/>
          <w:rtl w:val="0"/>
        </w:rPr>
        <w:t xml:space="preserve">Retrieved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https://www.statnews.com/2017/07/13/charlie-gard-life-support-ethics/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Guido, G. W. (2014).</w:t>
      </w:r>
      <w:r w:rsidDel="00000000" w:rsidR="00000000" w:rsidRPr="00000000">
        <w:rPr>
          <w:rFonts w:ascii="Times New Roman" w:cs="Times New Roman" w:eastAsia="Times New Roman" w:hAnsi="Times New Roman"/>
          <w:i w:val="1"/>
          <w:sz w:val="24"/>
          <w:szCs w:val="24"/>
          <w:rtl w:val="0"/>
        </w:rPr>
        <w:t xml:space="preserve"> Legal and ethical issues in nursing.</w:t>
      </w:r>
      <w:r w:rsidDel="00000000" w:rsidR="00000000" w:rsidRPr="00000000">
        <w:rPr>
          <w:rFonts w:ascii="Times New Roman" w:cs="Times New Roman" w:eastAsia="Times New Roman" w:hAnsi="Times New Roman"/>
          <w:sz w:val="24"/>
          <w:szCs w:val="24"/>
          <w:rtl w:val="0"/>
        </w:rPr>
        <w:t xml:space="preserve"> Boston, MA: Pearson. </w:t>
      </w:r>
    </w:p>
    <w:p w:rsidR="00000000" w:rsidDel="00000000" w:rsidP="00000000" w:rsidRDefault="00000000" w:rsidRPr="00000000" w14:paraId="00000033">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Hammond-Browning, N. (2017). When doctors and parents don’t agree: The story of Charlie Gard. </w:t>
      </w:r>
      <w:r w:rsidDel="00000000" w:rsidR="00000000" w:rsidRPr="00000000">
        <w:rPr>
          <w:rFonts w:ascii="Times New Roman" w:cs="Times New Roman" w:eastAsia="Times New Roman" w:hAnsi="Times New Roman"/>
          <w:i w:val="1"/>
          <w:sz w:val="24"/>
          <w:szCs w:val="24"/>
          <w:rtl w:val="0"/>
        </w:rPr>
        <w:t xml:space="preserve">Journal of Bioethical Inquiry, 14</w:t>
      </w:r>
      <w:r w:rsidDel="00000000" w:rsidR="00000000" w:rsidRPr="00000000">
        <w:rPr>
          <w:rFonts w:ascii="Times New Roman" w:cs="Times New Roman" w:eastAsia="Times New Roman" w:hAnsi="Times New Roman"/>
          <w:sz w:val="24"/>
          <w:szCs w:val="24"/>
          <w:rtl w:val="0"/>
        </w:rPr>
        <w:t xml:space="preserve">(4), 461-468. Doi: 10.1007/s11673-017-9814-9</w:t>
      </w:r>
    </w:p>
    <w:p w:rsidR="00000000" w:rsidDel="00000000" w:rsidP="00000000" w:rsidRDefault="00000000" w:rsidRPr="00000000" w14:paraId="00000034">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Karnik, S. &amp; Kanekar, A. (2016). Ethical issues surrounding end-of-life care: A narrative review. </w:t>
      </w:r>
      <w:r w:rsidDel="00000000" w:rsidR="00000000" w:rsidRPr="00000000">
        <w:rPr>
          <w:rFonts w:ascii="Times New Roman" w:cs="Times New Roman" w:eastAsia="Times New Roman" w:hAnsi="Times New Roman"/>
          <w:i w:val="1"/>
          <w:sz w:val="24"/>
          <w:szCs w:val="24"/>
          <w:rtl w:val="0"/>
        </w:rPr>
        <w:t xml:space="preserve">Healthcare, 4</w:t>
      </w:r>
      <w:r w:rsidDel="00000000" w:rsidR="00000000" w:rsidRPr="00000000">
        <w:rPr>
          <w:rFonts w:ascii="Times New Roman" w:cs="Times New Roman" w:eastAsia="Times New Roman" w:hAnsi="Times New Roman"/>
          <w:sz w:val="24"/>
          <w:szCs w:val="24"/>
          <w:rtl w:val="0"/>
        </w:rPr>
        <w:t xml:space="preserve">(2), 24. Doi: 10.3390/healthcare4020024</w:t>
      </w:r>
    </w:p>
    <w:p w:rsidR="00000000" w:rsidDel="00000000" w:rsidP="00000000" w:rsidRDefault="00000000" w:rsidRPr="00000000" w14:paraId="00000035">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Rainer, J. B., Schneider, J. K., &amp; Lorenz, R. A. (2018). Ethical dilemmas in nursing: An integrative review. </w:t>
      </w:r>
      <w:r w:rsidDel="00000000" w:rsidR="00000000" w:rsidRPr="00000000">
        <w:rPr>
          <w:rFonts w:ascii="Times New Roman" w:cs="Times New Roman" w:eastAsia="Times New Roman" w:hAnsi="Times New Roman"/>
          <w:i w:val="1"/>
          <w:sz w:val="24"/>
          <w:szCs w:val="24"/>
          <w:rtl w:val="0"/>
        </w:rPr>
        <w:t xml:space="preserve">Journal of Clinical Nursing, 27</w:t>
      </w:r>
      <w:r w:rsidDel="00000000" w:rsidR="00000000" w:rsidRPr="00000000">
        <w:rPr>
          <w:rFonts w:ascii="Times New Roman" w:cs="Times New Roman" w:eastAsia="Times New Roman" w:hAnsi="Times New Roman"/>
          <w:sz w:val="24"/>
          <w:szCs w:val="24"/>
          <w:rtl w:val="0"/>
        </w:rPr>
        <w:t xml:space="preserve">(19-20), 3446-3461. Doi: 10.111/jocn.14542</w:t>
      </w:r>
    </w:p>
    <w:p w:rsidR="00000000" w:rsidDel="00000000" w:rsidP="00000000" w:rsidRDefault="00000000" w:rsidRPr="00000000" w14:paraId="00000036">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Wiegand, D. L., MacMillan, J., dos Santos, M. R., &amp; Bousson, R. S. (2018). Palliative and end-of-life ethical dilemmas in the intensive care unit. </w:t>
      </w:r>
      <w:r w:rsidDel="00000000" w:rsidR="00000000" w:rsidRPr="00000000">
        <w:rPr>
          <w:rFonts w:ascii="Times New Roman" w:cs="Times New Roman" w:eastAsia="Times New Roman" w:hAnsi="Times New Roman"/>
          <w:i w:val="1"/>
          <w:sz w:val="24"/>
          <w:szCs w:val="24"/>
          <w:rtl w:val="0"/>
        </w:rPr>
        <w:t xml:space="preserve">AACN Advanced Critical Care, 26</w:t>
      </w:r>
      <w:r w:rsidDel="00000000" w:rsidR="00000000" w:rsidRPr="00000000">
        <w:rPr>
          <w:rFonts w:ascii="Times New Roman" w:cs="Times New Roman" w:eastAsia="Times New Roman" w:hAnsi="Times New Roman"/>
          <w:sz w:val="24"/>
          <w:szCs w:val="24"/>
          <w:rtl w:val="0"/>
        </w:rPr>
        <w:t xml:space="preserve">(2), 142-150.</w:t>
      </w:r>
    </w:p>
    <w:p w:rsidR="00000000" w:rsidDel="00000000" w:rsidP="00000000" w:rsidRDefault="00000000" w:rsidRPr="00000000" w14:paraId="00000037">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Wilkinson, D. (2017). Debate response: Charlie Gard, interests and justice - an alternative view. </w:t>
      </w:r>
      <w:r w:rsidDel="00000000" w:rsidR="00000000" w:rsidRPr="00000000">
        <w:rPr>
          <w:rFonts w:ascii="Times New Roman" w:cs="Times New Roman" w:eastAsia="Times New Roman" w:hAnsi="Times New Roman"/>
          <w:i w:val="1"/>
          <w:sz w:val="24"/>
          <w:szCs w:val="24"/>
          <w:rtl w:val="0"/>
        </w:rPr>
        <w:t xml:space="preserve">Practical Ethics. </w:t>
      </w:r>
      <w:r w:rsidDel="00000000" w:rsidR="00000000" w:rsidRPr="00000000">
        <w:rPr>
          <w:rFonts w:ascii="Times New Roman" w:cs="Times New Roman" w:eastAsia="Times New Roman" w:hAnsi="Times New Roman"/>
          <w:sz w:val="24"/>
          <w:szCs w:val="24"/>
          <w:rtl w:val="0"/>
        </w:rPr>
        <w:t xml:space="preserve">Oxford: University of Oxford. </w:t>
      </w:r>
    </w:p>
    <w:p w:rsidR="00000000" w:rsidDel="00000000" w:rsidP="00000000" w:rsidRDefault="00000000" w:rsidRPr="00000000" w14:paraId="00000038">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CASE STUDY</w:t>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ETHICAL CASE STUDY</w:t>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tatnews.com/2017/07/13/charlie-gard-life-support-ethics/"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