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contextualSpacing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Name:</w:t>
      </w:r>
    </w:p>
    <w:p w:rsidR="00000000" w:rsidDel="00000000" w:rsidP="00000000" w:rsidRDefault="00000000" w:rsidRPr="00000000" w14:paraId="00000001">
      <w:pPr>
        <w:spacing w:line="480" w:lineRule="auto"/>
        <w:contextualSpacing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Instructor:</w:t>
      </w:r>
    </w:p>
    <w:p w:rsidR="00000000" w:rsidDel="00000000" w:rsidP="00000000" w:rsidRDefault="00000000" w:rsidRPr="00000000" w14:paraId="00000002">
      <w:pPr>
        <w:spacing w:line="480" w:lineRule="auto"/>
        <w:contextualSpacing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Course:</w:t>
      </w:r>
    </w:p>
    <w:p w:rsidR="00000000" w:rsidDel="00000000" w:rsidP="00000000" w:rsidRDefault="00000000" w:rsidRPr="00000000" w14:paraId="00000003">
      <w:pPr>
        <w:spacing w:line="480" w:lineRule="auto"/>
        <w:contextualSpacing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Date: </w:t>
      </w:r>
    </w:p>
    <w:p w:rsidR="00000000" w:rsidDel="00000000" w:rsidP="00000000" w:rsidRDefault="00000000" w:rsidRPr="00000000" w14:paraId="00000004">
      <w:pPr>
        <w:spacing w:line="480" w:lineRule="auto"/>
        <w:contextualSpacing w:val="0"/>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Question 1</w:t>
      </w:r>
    </w:p>
    <w:p w:rsidR="00000000" w:rsidDel="00000000" w:rsidP="00000000" w:rsidRDefault="00000000" w:rsidRPr="00000000" w14:paraId="00000005">
      <w:pPr>
        <w:spacing w:line="480" w:lineRule="auto"/>
        <w:ind w:firstLine="720"/>
        <w:contextualSpacing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Manorialism was a system that comprised of economic, political, and social aspects and in which the peasants depended on their lands and the authority of their lord for survival. While the lands were meant to provide the food necessary for the sustenance of the peasants and their families, peasants depended on their lords for security that would enable them defeat the enemy in the case of an attack. The main elements of manorialism and which enabled the institutions and practices of the sub-Romans to survive into the nineteenth century include the use of serfs rather than slaves as well as the integration of Christianity in justifying various practices and reinforce a feeling of belongingness within the society. This essay includes an overview of the sub-Romans, the actualization of manorialism, and the role of serfdom and christianity in the endurance of sub-Romans’ institutions and practices. </w:t>
      </w:r>
    </w:p>
    <w:p w:rsidR="00000000" w:rsidDel="00000000" w:rsidP="00000000" w:rsidRDefault="00000000" w:rsidRPr="00000000" w14:paraId="00000006">
      <w:pPr>
        <w:spacing w:line="480" w:lineRule="auto"/>
        <w:ind w:firstLine="720"/>
        <w:contextualSpacing w:val="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Sub-Roman: An Overview</w:t>
      </w:r>
    </w:p>
    <w:p w:rsidR="00000000" w:rsidDel="00000000" w:rsidP="00000000" w:rsidRDefault="00000000" w:rsidRPr="00000000" w14:paraId="00000007">
      <w:pPr>
        <w:spacing w:line="480" w:lineRule="auto"/>
        <w:ind w:firstLine="720"/>
        <w:contextualSpacing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Sub-Roman refers to the part of Britain that gained independence from the Roman empire in 43-410 AD. In an article by Peter Sarris, “The Origin of the Manorial Economy: New Insights from Late Antiquity,” manorialism entailed the reliance on lords, referred to as Manors, for the protection of the land and their dwellers in exchange for labor and other kinds of economic means that would guarantee the well-being of the lords and their lordship. After gaining independence, the sub-Romans adopted a unique culture that blended the culture of the natives with that of the Romans. Christianity was another essential element that guaranteed the success of the institutions and practices of this group. </w:t>
      </w:r>
    </w:p>
    <w:p w:rsidR="00000000" w:rsidDel="00000000" w:rsidP="00000000" w:rsidRDefault="00000000" w:rsidRPr="00000000" w14:paraId="00000008">
      <w:pPr>
        <w:spacing w:line="480" w:lineRule="auto"/>
        <w:ind w:firstLine="720"/>
        <w:contextualSpacing w:val="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Manorialism in the Sub-Roman Institutions</w:t>
      </w:r>
    </w:p>
    <w:p w:rsidR="00000000" w:rsidDel="00000000" w:rsidP="00000000" w:rsidRDefault="00000000" w:rsidRPr="00000000" w14:paraId="00000009">
      <w:pPr>
        <w:spacing w:line="480" w:lineRule="auto"/>
        <w:ind w:firstLine="720"/>
        <w:contextualSpacing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Manorialism was a governance system that emanated from the Late Roman Empire and entailed relationships between the peasants and their lords. According to Donald Herreld, in the book </w:t>
      </w:r>
      <w:r w:rsidDel="00000000" w:rsidR="00000000" w:rsidRPr="00000000">
        <w:rPr>
          <w:rFonts w:ascii="Times New Roman" w:cs="Times New Roman" w:eastAsia="Times New Roman" w:hAnsi="Times New Roman"/>
          <w:i w:val="1"/>
          <w:sz w:val="36"/>
          <w:szCs w:val="36"/>
          <w:rtl w:val="0"/>
        </w:rPr>
        <w:t xml:space="preserve">An Economic History of the World Since 1400, </w:t>
      </w:r>
      <w:r w:rsidDel="00000000" w:rsidR="00000000" w:rsidRPr="00000000">
        <w:rPr>
          <w:rFonts w:ascii="Times New Roman" w:cs="Times New Roman" w:eastAsia="Times New Roman" w:hAnsi="Times New Roman"/>
          <w:sz w:val="36"/>
          <w:szCs w:val="36"/>
          <w:rtl w:val="0"/>
        </w:rPr>
        <w:t xml:space="preserve">labor was critical to the sustenance of production and the continuity of the mandate of the lords as providers of security and protection. This kind of administration endured up to the 19th century among the Sub-Romans due to the organization involved. In this light, there was succession planning in which sons were required to succeed their fathers by taking over the throne whenever circumstances necessitated it. In a case where the son takes over the ruling, there are higher chances that this successor follows all the attributes of manorialism as stipulated and practiced by the father. </w:t>
      </w:r>
    </w:p>
    <w:p w:rsidR="00000000" w:rsidDel="00000000" w:rsidP="00000000" w:rsidRDefault="00000000" w:rsidRPr="00000000" w14:paraId="0000000A">
      <w:pPr>
        <w:spacing w:line="480" w:lineRule="auto"/>
        <w:ind w:firstLine="720"/>
        <w:contextualSpacing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Another aspect that yielded the endurance of manorialism was the requirement for land cultivators to never leave the land of their attachment unless under the authority of the manor who had the legal holding of that land. In this sense, manorialism entailed the retention of all subjects that could enable the sustainability of the land, starting from the owner to the servant. The latter was essential in maintaining the productivity of the specific land as labor had the highest significance in a system where everyone had to survive economically, politically, and socially (Herreld 20). </w:t>
      </w:r>
    </w:p>
    <w:p w:rsidR="00000000" w:rsidDel="00000000" w:rsidP="00000000" w:rsidRDefault="00000000" w:rsidRPr="00000000" w14:paraId="0000000B">
      <w:pPr>
        <w:spacing w:line="480" w:lineRule="auto"/>
        <w:ind w:firstLine="720"/>
        <w:contextualSpacing w:val="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Serfdom in the Sub-Roman Era</w:t>
      </w:r>
    </w:p>
    <w:p w:rsidR="00000000" w:rsidDel="00000000" w:rsidP="00000000" w:rsidRDefault="00000000" w:rsidRPr="00000000" w14:paraId="0000000C">
      <w:pPr>
        <w:spacing w:line="480" w:lineRule="auto"/>
        <w:ind w:firstLine="720"/>
        <w:contextualSpacing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Serfdom entailed the provision of a land to the serfs for which they paid using their labor while still ensuring productivity is such lands. Serfs were, therefore, not free to do as they wished unless the lords were satisfied with the labor they provided. In an article authored by Mark Gardner, “A Brief History of Roman Britain,” one unique attribute of the Sub-Romans was that their culture ensured that every Briton knew of his or her Britishness and adjusted his or her behavior toward that course. Due to the experiences situated within the Sub-Roman era, Britain has names that are derived from the culture of Romans. It was with such experiences that names, such as Scotland, Wales, and England, are still prominent today (Gardner). The Sub-Romans tried to integrate everyone into their culture by embracing unique values that incorporated elements of Britain and Rome to form a hybrid culture. This created a sense of belongingness where everyone felt as part of the society.</w:t>
      </w:r>
    </w:p>
    <w:p w:rsidR="00000000" w:rsidDel="00000000" w:rsidP="00000000" w:rsidRDefault="00000000" w:rsidRPr="00000000" w14:paraId="0000000D">
      <w:pPr>
        <w:spacing w:line="480" w:lineRule="auto"/>
        <w:ind w:firstLine="720"/>
        <w:contextualSpacing w:val="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Serfdom in Contrast to Slavery</w:t>
      </w:r>
    </w:p>
    <w:p w:rsidR="00000000" w:rsidDel="00000000" w:rsidP="00000000" w:rsidRDefault="00000000" w:rsidRPr="00000000" w14:paraId="0000000E">
      <w:pPr>
        <w:spacing w:line="480" w:lineRule="auto"/>
        <w:ind w:firstLine="720"/>
        <w:contextualSpacing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During the times when Romans invaded Britain, the use of slaves was a prominent phenomenon. Slaves worked in various domains, professional and amateur. In this light, they performed domestic chores, professional work, and at times were exposed to some kinds of work as a form of punishment. In a book by Brian Tierney, </w:t>
      </w:r>
      <w:r w:rsidDel="00000000" w:rsidR="00000000" w:rsidRPr="00000000">
        <w:rPr>
          <w:rFonts w:ascii="Times New Roman" w:cs="Times New Roman" w:eastAsia="Times New Roman" w:hAnsi="Times New Roman"/>
          <w:i w:val="1"/>
          <w:sz w:val="36"/>
          <w:szCs w:val="36"/>
          <w:rtl w:val="0"/>
        </w:rPr>
        <w:t xml:space="preserve">The Idea of Natural Rights,</w:t>
      </w:r>
      <w:r w:rsidDel="00000000" w:rsidR="00000000" w:rsidRPr="00000000">
        <w:rPr>
          <w:rFonts w:ascii="Times New Roman" w:cs="Times New Roman" w:eastAsia="Times New Roman" w:hAnsi="Times New Roman"/>
          <w:sz w:val="36"/>
          <w:szCs w:val="36"/>
          <w:rtl w:val="0"/>
        </w:rPr>
        <w:t xml:space="preserve"> freedom of all humans was a right under natural law since the medieval times. The ancient warfare periods, however, allowed the winner to enslave the individuals who were defeated in the war. As such, it was the tactic of an empire or colonialist in depicting their strength over the ruled population. This saw the use of slaves by the Romans in the areas where they emerged as victors, including Europe. In a book by David Bederman, </w:t>
      </w:r>
      <w:r w:rsidDel="00000000" w:rsidR="00000000" w:rsidRPr="00000000">
        <w:rPr>
          <w:rFonts w:ascii="Times New Roman" w:cs="Times New Roman" w:eastAsia="Times New Roman" w:hAnsi="Times New Roman"/>
          <w:i w:val="1"/>
          <w:sz w:val="36"/>
          <w:szCs w:val="36"/>
          <w:rtl w:val="0"/>
        </w:rPr>
        <w:t xml:space="preserve">International Law in Antiquity, </w:t>
      </w:r>
      <w:r w:rsidDel="00000000" w:rsidR="00000000" w:rsidRPr="00000000">
        <w:rPr>
          <w:rFonts w:ascii="Times New Roman" w:cs="Times New Roman" w:eastAsia="Times New Roman" w:hAnsi="Times New Roman"/>
          <w:sz w:val="36"/>
          <w:szCs w:val="36"/>
          <w:rtl w:val="0"/>
        </w:rPr>
        <w:t xml:space="preserve">settlements that involved negotiations or diplomatic interventions leading to the termination of war, allowed for the freedom of the populations involved and such included an allowance for exclusion from any enslavement endeavors and other kinds of punishments. In this light, the Romans justified their enslavement of populations by conquering those under their subjective rule.  </w:t>
      </w:r>
    </w:p>
    <w:p w:rsidR="00000000" w:rsidDel="00000000" w:rsidP="00000000" w:rsidRDefault="00000000" w:rsidRPr="00000000" w14:paraId="0000000F">
      <w:pPr>
        <w:spacing w:line="480" w:lineRule="auto"/>
        <w:ind w:firstLine="720"/>
        <w:contextualSpacing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In the case of serfdom, the serfs had some freedom as serfdom was a way of sustaining the society. The Sub-Romans used the serfdom strategy rather than slavery. Under serfdom, peasants had a better life than those who were just peasant farmers in own right. The latter shared their huts with domestic animals which they reared and would mostly be engulfed by every kind of smell within their places of stay. For those who served as serfs, they had their huts segregated from those of farm animals and other kinds of unpleasant environments. They were also guaranteed with security but their daily lives encompassed the hardships that were no different from those of peasant farmers (Gardner). Despite the hardships, one would still have wished to be a serf rather than a peasant farmer. </w:t>
      </w:r>
    </w:p>
    <w:p w:rsidR="00000000" w:rsidDel="00000000" w:rsidP="00000000" w:rsidRDefault="00000000" w:rsidRPr="00000000" w14:paraId="00000010">
      <w:pPr>
        <w:spacing w:line="480" w:lineRule="auto"/>
        <w:ind w:firstLine="720"/>
        <w:contextualSpacing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Another factor that enhanced the endurance of the Sub-Roman institutions was that serfs could not be traded like the slaves of the ancient times (Gardner). Serfdom constituted the protection of the individuals involved and mutual relations where the recipient and provider of services benefitted in distinct ways. The manor, who was the recipient of services, benefitted through continuous production in his farm. The provider of service, in this case the serf, benefitted by having a small farm that offered food for his or her family, while also having a shelter within the farm provided. In case the manor had to sell the land in which a serf worked, the buyer took the land together with the serfs and thus became the new lord who controlled the way of working of the serfs. A major distinction between a slave and a serf was that the latter could own property and this started from having a piece of land from the lord he or she served. Slaves, however, had nothing and to say the least, their lord could claim the clothes worn by a slave. According to an article, “Serfdom,” published in </w:t>
      </w:r>
      <w:r w:rsidDel="00000000" w:rsidR="00000000" w:rsidRPr="00000000">
        <w:rPr>
          <w:rFonts w:ascii="Times New Roman" w:cs="Times New Roman" w:eastAsia="Times New Roman" w:hAnsi="Times New Roman"/>
          <w:i w:val="1"/>
          <w:sz w:val="36"/>
          <w:szCs w:val="36"/>
          <w:rtl w:val="0"/>
        </w:rPr>
        <w:t xml:space="preserve">The New World Encyclopedia, </w:t>
      </w:r>
      <w:r w:rsidDel="00000000" w:rsidR="00000000" w:rsidRPr="00000000">
        <w:rPr>
          <w:rFonts w:ascii="Times New Roman" w:cs="Times New Roman" w:eastAsia="Times New Roman" w:hAnsi="Times New Roman"/>
          <w:sz w:val="36"/>
          <w:szCs w:val="36"/>
          <w:rtl w:val="0"/>
        </w:rPr>
        <w:t xml:space="preserve">some serfs became so wealthy at some point that they could even buy their freedom from the manors by selling the surplus produce of the lands given to them. </w:t>
      </w:r>
    </w:p>
    <w:p w:rsidR="00000000" w:rsidDel="00000000" w:rsidP="00000000" w:rsidRDefault="00000000" w:rsidRPr="00000000" w14:paraId="00000011">
      <w:pPr>
        <w:spacing w:line="480" w:lineRule="auto"/>
        <w:ind w:firstLine="720"/>
        <w:contextualSpacing w:val="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The Role of Christianity in the Sub-Roman Times</w:t>
      </w:r>
    </w:p>
    <w:p w:rsidR="00000000" w:rsidDel="00000000" w:rsidP="00000000" w:rsidRDefault="00000000" w:rsidRPr="00000000" w14:paraId="00000012">
      <w:pPr>
        <w:spacing w:line="480" w:lineRule="auto"/>
        <w:ind w:firstLine="720"/>
        <w:contextualSpacing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Christianity was a major aspect of the Sub-Romans and which contributed greatly to their endurance. In the idea of integrating the Roman culture, christianity was one of the elements that strengthened the hybrid culture. The church served to justify the role of everyone within the society such that the serfs considered it as a role to serve the landlords and those of the royal class. Accordin</w:t>
      </w:r>
      <w:r w:rsidDel="00000000" w:rsidR="00000000" w:rsidRPr="00000000">
        <w:rPr>
          <w:rFonts w:ascii="Times New Roman" w:cs="Times New Roman" w:eastAsia="Times New Roman" w:hAnsi="Times New Roman"/>
          <w:sz w:val="36"/>
          <w:szCs w:val="36"/>
          <w:rtl w:val="0"/>
        </w:rPr>
        <w:t xml:space="preserve">g to Clifford Backman, in the book </w:t>
      </w:r>
      <w:r w:rsidDel="00000000" w:rsidR="00000000" w:rsidRPr="00000000">
        <w:rPr>
          <w:rFonts w:ascii="Times New Roman" w:cs="Times New Roman" w:eastAsia="Times New Roman" w:hAnsi="Times New Roman"/>
          <w:i w:val="1"/>
          <w:sz w:val="36"/>
          <w:szCs w:val="36"/>
          <w:rtl w:val="0"/>
        </w:rPr>
        <w:t xml:space="preserve">The Worlds of Medieval Europe</w:t>
      </w:r>
      <w:r w:rsidDel="00000000" w:rsidR="00000000" w:rsidRPr="00000000">
        <w:rPr>
          <w:rFonts w:ascii="Times New Roman" w:cs="Times New Roman" w:eastAsia="Times New Roman" w:hAnsi="Times New Roman"/>
          <w:sz w:val="36"/>
          <w:szCs w:val="36"/>
          <w:rtl w:val="0"/>
        </w:rPr>
        <w:t xml:space="preserve">, the pope, priests, monks, and nuns had the power to convince the serfs and others within the society that theirs was a role to serve God and this enhanced the commitment of everyone to the sustenance of the society with the peasants enduring all kinds of hardships to sustain those in the ruling class and others who prayed for them. </w:t>
      </w:r>
    </w:p>
    <w:p w:rsidR="00000000" w:rsidDel="00000000" w:rsidP="00000000" w:rsidRDefault="00000000" w:rsidRPr="00000000" w14:paraId="00000013">
      <w:pPr>
        <w:spacing w:line="480" w:lineRule="auto"/>
        <w:ind w:firstLine="720"/>
        <w:contextualSpacing w:val="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Conclusion</w:t>
      </w:r>
    </w:p>
    <w:p w:rsidR="00000000" w:rsidDel="00000000" w:rsidP="00000000" w:rsidRDefault="00000000" w:rsidRPr="00000000" w14:paraId="00000014">
      <w:pPr>
        <w:spacing w:line="480" w:lineRule="auto"/>
        <w:ind w:firstLine="720"/>
        <w:contextualSpacing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There are various aspects that enabled the Sub-Roman’s institutions and practices to endure up to the 19th century. The idea of incorporating the Roman and British culture emerges as a prominent aspect. Unlike the Roman empire which mostly relied on slavery for the provision of labor, the Sub-Romans adopted the serfdom system which came with some freedom for the laborers. Serfs could own property unlike the slaves and it even reached a time when they could buy their freedom, particularly in the advent of the monetary system that allowed serfs to work for money. Christianity also played a prominent role with popes, priests, monks, and nuns, convincing the populations about the need to perform one’s duty with gratitude for the sake of the society in which one lives.</w:t>
      </w:r>
    </w:p>
    <w:p w:rsidR="00000000" w:rsidDel="00000000" w:rsidP="00000000" w:rsidRDefault="00000000" w:rsidRPr="00000000" w14:paraId="00000015">
      <w:pPr>
        <w:spacing w:line="480" w:lineRule="auto"/>
        <w:ind w:firstLine="720"/>
        <w:contextualSpacing w:val="0"/>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6">
      <w:pPr>
        <w:spacing w:line="480" w:lineRule="auto"/>
        <w:ind w:firstLine="720"/>
        <w:contextualSpacing w:val="0"/>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7">
      <w:pPr>
        <w:spacing w:line="480" w:lineRule="auto"/>
        <w:ind w:firstLine="720"/>
        <w:contextualSpacing w:val="0"/>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8">
      <w:pPr>
        <w:spacing w:line="480" w:lineRule="auto"/>
        <w:ind w:firstLine="720"/>
        <w:contextualSpacing w:val="0"/>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9">
      <w:pPr>
        <w:spacing w:line="480" w:lineRule="auto"/>
        <w:ind w:firstLine="720"/>
        <w:contextualSpacing w:val="0"/>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A">
      <w:pPr>
        <w:spacing w:line="480" w:lineRule="auto"/>
        <w:ind w:firstLine="720"/>
        <w:contextualSpacing w:val="0"/>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B">
      <w:pPr>
        <w:spacing w:line="480" w:lineRule="auto"/>
        <w:ind w:left="0" w:firstLine="0"/>
        <w:contextualSpacing w:val="0"/>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1C">
      <w:pPr>
        <w:spacing w:line="480" w:lineRule="auto"/>
        <w:ind w:firstLine="720"/>
        <w:contextualSpacing w:val="0"/>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Works Cited</w:t>
      </w:r>
    </w:p>
    <w:p w:rsidR="00000000" w:rsidDel="00000000" w:rsidP="00000000" w:rsidRDefault="00000000" w:rsidRPr="00000000" w14:paraId="0000001D">
      <w:pPr>
        <w:spacing w:line="480" w:lineRule="auto"/>
        <w:ind w:firstLine="720"/>
        <w:contextualSpacing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Backman, Clifford R. </w:t>
      </w:r>
      <w:r w:rsidDel="00000000" w:rsidR="00000000" w:rsidRPr="00000000">
        <w:rPr>
          <w:rFonts w:ascii="Times New Roman" w:cs="Times New Roman" w:eastAsia="Times New Roman" w:hAnsi="Times New Roman"/>
          <w:i w:val="1"/>
          <w:sz w:val="36"/>
          <w:szCs w:val="36"/>
          <w:rtl w:val="0"/>
        </w:rPr>
        <w:t xml:space="preserve">The Worlds of Medieval Europe. </w:t>
      </w:r>
      <w:r w:rsidDel="00000000" w:rsidR="00000000" w:rsidRPr="00000000">
        <w:rPr>
          <w:rFonts w:ascii="Times New Roman" w:cs="Times New Roman" w:eastAsia="Times New Roman" w:hAnsi="Times New Roman"/>
          <w:sz w:val="36"/>
          <w:szCs w:val="36"/>
          <w:rtl w:val="0"/>
        </w:rPr>
        <w:t xml:space="preserve">Oxford University Press, 2002. </w:t>
      </w:r>
    </w:p>
    <w:p w:rsidR="00000000" w:rsidDel="00000000" w:rsidP="00000000" w:rsidRDefault="00000000" w:rsidRPr="00000000" w14:paraId="0000001E">
      <w:pPr>
        <w:spacing w:line="480" w:lineRule="auto"/>
        <w:ind w:firstLine="720"/>
        <w:contextualSpacing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Bederman, David J. </w:t>
      </w:r>
      <w:r w:rsidDel="00000000" w:rsidR="00000000" w:rsidRPr="00000000">
        <w:rPr>
          <w:rFonts w:ascii="Times New Roman" w:cs="Times New Roman" w:eastAsia="Times New Roman" w:hAnsi="Times New Roman"/>
          <w:i w:val="1"/>
          <w:sz w:val="36"/>
          <w:szCs w:val="36"/>
          <w:rtl w:val="0"/>
        </w:rPr>
        <w:t xml:space="preserve">International Law in Antiquity. </w:t>
      </w:r>
      <w:r w:rsidDel="00000000" w:rsidR="00000000" w:rsidRPr="00000000">
        <w:rPr>
          <w:rFonts w:ascii="Times New Roman" w:cs="Times New Roman" w:eastAsia="Times New Roman" w:hAnsi="Times New Roman"/>
          <w:sz w:val="36"/>
          <w:szCs w:val="36"/>
          <w:rtl w:val="0"/>
        </w:rPr>
        <w:t xml:space="preserve">Cambridge University Press, 2004. </w:t>
      </w:r>
    </w:p>
    <w:p w:rsidR="00000000" w:rsidDel="00000000" w:rsidP="00000000" w:rsidRDefault="00000000" w:rsidRPr="00000000" w14:paraId="0000001F">
      <w:pPr>
        <w:spacing w:line="480" w:lineRule="auto"/>
        <w:ind w:firstLine="720"/>
        <w:contextualSpacing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Gardner, Mark. “A Brief History of Roman Britain,” 2013. Web. 4 Dec 2018.  </w:t>
      </w:r>
    </w:p>
    <w:p w:rsidR="00000000" w:rsidDel="00000000" w:rsidP="00000000" w:rsidRDefault="00000000" w:rsidRPr="00000000" w14:paraId="00000020">
      <w:pPr>
        <w:spacing w:line="480" w:lineRule="auto"/>
        <w:ind w:firstLine="720"/>
        <w:contextualSpacing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Herreld, Donald J. </w:t>
      </w:r>
      <w:r w:rsidDel="00000000" w:rsidR="00000000" w:rsidRPr="00000000">
        <w:rPr>
          <w:rFonts w:ascii="Times New Roman" w:cs="Times New Roman" w:eastAsia="Times New Roman" w:hAnsi="Times New Roman"/>
          <w:i w:val="1"/>
          <w:sz w:val="36"/>
          <w:szCs w:val="36"/>
          <w:rtl w:val="0"/>
        </w:rPr>
        <w:t xml:space="preserve">An Economic History of the World Since 1400. </w:t>
      </w:r>
      <w:r w:rsidDel="00000000" w:rsidR="00000000" w:rsidRPr="00000000">
        <w:rPr>
          <w:rFonts w:ascii="Times New Roman" w:cs="Times New Roman" w:eastAsia="Times New Roman" w:hAnsi="Times New Roman"/>
          <w:sz w:val="36"/>
          <w:szCs w:val="36"/>
          <w:rtl w:val="0"/>
        </w:rPr>
        <w:t xml:space="preserve">The Great Course, 2016. Web. 4 Dec 2018. </w:t>
      </w:r>
    </w:p>
    <w:p w:rsidR="00000000" w:rsidDel="00000000" w:rsidP="00000000" w:rsidRDefault="00000000" w:rsidRPr="00000000" w14:paraId="00000021">
      <w:pPr>
        <w:spacing w:line="480" w:lineRule="auto"/>
        <w:ind w:firstLine="720"/>
        <w:contextualSpacing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Sarris, Peter. “The Origins of the Manorial Economy: New Sights from Late Antiquity.” </w:t>
      </w:r>
      <w:r w:rsidDel="00000000" w:rsidR="00000000" w:rsidRPr="00000000">
        <w:rPr>
          <w:rFonts w:ascii="Times New Roman" w:cs="Times New Roman" w:eastAsia="Times New Roman" w:hAnsi="Times New Roman"/>
          <w:i w:val="1"/>
          <w:sz w:val="36"/>
          <w:szCs w:val="36"/>
          <w:rtl w:val="0"/>
        </w:rPr>
        <w:t xml:space="preserve">The English Historical Review, </w:t>
      </w:r>
      <w:r w:rsidDel="00000000" w:rsidR="00000000" w:rsidRPr="00000000">
        <w:rPr>
          <w:rFonts w:ascii="Times New Roman" w:cs="Times New Roman" w:eastAsia="Times New Roman" w:hAnsi="Times New Roman"/>
          <w:sz w:val="36"/>
          <w:szCs w:val="36"/>
          <w:rtl w:val="0"/>
        </w:rPr>
        <w:t xml:space="preserve">119(2004): 279-311. </w:t>
      </w:r>
    </w:p>
    <w:p w:rsidR="00000000" w:rsidDel="00000000" w:rsidP="00000000" w:rsidRDefault="00000000" w:rsidRPr="00000000" w14:paraId="00000022">
      <w:pPr>
        <w:spacing w:line="480" w:lineRule="auto"/>
        <w:ind w:firstLine="720"/>
        <w:contextualSpacing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“Serfdom” </w:t>
      </w:r>
      <w:r w:rsidDel="00000000" w:rsidR="00000000" w:rsidRPr="00000000">
        <w:rPr>
          <w:rFonts w:ascii="Times New Roman" w:cs="Times New Roman" w:eastAsia="Times New Roman" w:hAnsi="Times New Roman"/>
          <w:i w:val="1"/>
          <w:sz w:val="36"/>
          <w:szCs w:val="36"/>
          <w:rtl w:val="0"/>
        </w:rPr>
        <w:t xml:space="preserve">The New World Encyclopedia. </w:t>
      </w:r>
      <w:r w:rsidDel="00000000" w:rsidR="00000000" w:rsidRPr="00000000">
        <w:rPr>
          <w:rFonts w:ascii="Times New Roman" w:cs="Times New Roman" w:eastAsia="Times New Roman" w:hAnsi="Times New Roman"/>
          <w:sz w:val="36"/>
          <w:szCs w:val="36"/>
          <w:rtl w:val="0"/>
        </w:rPr>
        <w:t xml:space="preserve">2015. Web. 4 Dec 2018.</w:t>
      </w:r>
    </w:p>
    <w:p w:rsidR="00000000" w:rsidDel="00000000" w:rsidP="00000000" w:rsidRDefault="00000000" w:rsidRPr="00000000" w14:paraId="00000023">
      <w:pPr>
        <w:spacing w:line="480" w:lineRule="auto"/>
        <w:ind w:firstLine="720"/>
        <w:contextualSpacing w:val="0"/>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Tierney, Brian. </w:t>
      </w:r>
      <w:r w:rsidDel="00000000" w:rsidR="00000000" w:rsidRPr="00000000">
        <w:rPr>
          <w:rFonts w:ascii="Times New Roman" w:cs="Times New Roman" w:eastAsia="Times New Roman" w:hAnsi="Times New Roman"/>
          <w:i w:val="1"/>
          <w:sz w:val="36"/>
          <w:szCs w:val="36"/>
          <w:rtl w:val="0"/>
        </w:rPr>
        <w:t xml:space="preserve">The Idea of Natural Laws. </w:t>
      </w:r>
      <w:r w:rsidDel="00000000" w:rsidR="00000000" w:rsidRPr="00000000">
        <w:rPr>
          <w:rFonts w:ascii="Times New Roman" w:cs="Times New Roman" w:eastAsia="Times New Roman" w:hAnsi="Times New Roman"/>
          <w:sz w:val="36"/>
          <w:szCs w:val="36"/>
          <w:rtl w:val="0"/>
        </w:rPr>
        <w:t xml:space="preserve">Scholars Press for Emory University, 2002. </w:t>
      </w:r>
    </w:p>
    <w:p w:rsidR="00000000" w:rsidDel="00000000" w:rsidP="00000000" w:rsidRDefault="00000000" w:rsidRPr="00000000" w14:paraId="00000024">
      <w:pPr>
        <w:spacing w:line="480" w:lineRule="auto"/>
        <w:ind w:firstLine="720"/>
        <w:contextualSpacing w:val="0"/>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25">
      <w:pPr>
        <w:spacing w:line="480" w:lineRule="auto"/>
        <w:ind w:firstLine="720"/>
        <w:contextualSpacing w:val="0"/>
        <w:rPr>
          <w:rFonts w:ascii="Times New Roman" w:cs="Times New Roman" w:eastAsia="Times New Roman" w:hAnsi="Times New Roman"/>
          <w:sz w:val="36"/>
          <w:szCs w:val="36"/>
        </w:rPr>
      </w:pPr>
      <w:r w:rsidDel="00000000" w:rsidR="00000000" w:rsidRPr="00000000">
        <w:rPr>
          <w:rtl w:val="0"/>
        </w:rPr>
      </w:r>
    </w:p>
    <w:sectPr>
      <w:headerReference r:id="rId6"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contextualSpacing w:val="0"/>
      <w:jc w:val="right"/>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Surname </w:t>
    </w:r>
    <w:r w:rsidDel="00000000" w:rsidR="00000000" w:rsidRPr="00000000">
      <w:rPr>
        <w:rFonts w:ascii="Times New Roman" w:cs="Times New Roman" w:eastAsia="Times New Roman" w:hAnsi="Times New Roman"/>
        <w:sz w:val="36"/>
        <w:szCs w:val="36"/>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