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B7" w:rsidRPr="00CF081E" w:rsidRDefault="00861EB7">
      <w:pPr>
        <w:contextualSpacing/>
      </w:pPr>
    </w:p>
    <w:p w:rsidR="00861EB7" w:rsidRPr="00CF081E" w:rsidRDefault="00861EB7">
      <w:pPr>
        <w:contextualSpacing/>
      </w:pPr>
    </w:p>
    <w:p w:rsidR="00861EB7" w:rsidRPr="00CF081E" w:rsidRDefault="00861EB7">
      <w:pPr>
        <w:contextualSpacing/>
      </w:pPr>
    </w:p>
    <w:p w:rsidR="00861EB7" w:rsidRPr="00CF081E" w:rsidRDefault="00861EB7">
      <w:pPr>
        <w:contextualSpacing/>
      </w:pPr>
    </w:p>
    <w:p w:rsidR="00861EB7" w:rsidRPr="00CF081E" w:rsidRDefault="00861EB7">
      <w:pPr>
        <w:contextualSpacing/>
      </w:pPr>
    </w:p>
    <w:p w:rsidR="001A1573" w:rsidRPr="00CF081E" w:rsidRDefault="004C5013" w:rsidP="00861EB7">
      <w:pPr>
        <w:contextualSpacing/>
        <w:jc w:val="center"/>
      </w:pPr>
      <w:r w:rsidRPr="00CF081E">
        <w:t>Cultural Anthropology</w:t>
      </w:r>
    </w:p>
    <w:p w:rsidR="00861EB7" w:rsidRPr="00CF081E" w:rsidRDefault="00861EB7" w:rsidP="00861EB7">
      <w:pPr>
        <w:contextualSpacing/>
        <w:jc w:val="center"/>
      </w:pPr>
      <w:r w:rsidRPr="00CF081E">
        <w:t>Student’s Name</w:t>
      </w:r>
    </w:p>
    <w:p w:rsidR="00861EB7" w:rsidRPr="00CF081E" w:rsidRDefault="00861EB7" w:rsidP="00861EB7">
      <w:pPr>
        <w:contextualSpacing/>
        <w:jc w:val="center"/>
      </w:pPr>
      <w:r w:rsidRPr="00CF081E">
        <w:t>Institution</w:t>
      </w:r>
    </w:p>
    <w:p w:rsidR="00861EB7" w:rsidRPr="00CF081E" w:rsidRDefault="00861EB7" w:rsidP="00861EB7">
      <w:pPr>
        <w:contextualSpacing/>
        <w:jc w:val="center"/>
      </w:pPr>
      <w:r w:rsidRPr="00CF081E">
        <w:t>Date</w:t>
      </w: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861EB7" w:rsidRPr="00CF081E" w:rsidRDefault="00861EB7" w:rsidP="00861EB7">
      <w:pPr>
        <w:contextualSpacing/>
        <w:jc w:val="center"/>
      </w:pPr>
    </w:p>
    <w:p w:rsidR="00C76CD1" w:rsidRDefault="00C76CD1">
      <w:pPr>
        <w:contextualSpacing/>
        <w:rPr>
          <w:b/>
          <w:i/>
        </w:rPr>
      </w:pPr>
    </w:p>
    <w:p w:rsidR="00E108BA" w:rsidRPr="00E108BA" w:rsidRDefault="00E108BA" w:rsidP="00E108BA">
      <w:pPr>
        <w:contextualSpacing/>
        <w:rPr>
          <w:b/>
          <w:i/>
        </w:rPr>
      </w:pPr>
      <w:r w:rsidRPr="00E108BA">
        <w:rPr>
          <w:b/>
          <w:i/>
        </w:rPr>
        <w:lastRenderedPageBreak/>
        <w:t>Principal differentiators about anthropology compared to other disciplines such as history, economics, psychology or sociology</w:t>
      </w:r>
    </w:p>
    <w:p w:rsidR="00E108BA" w:rsidRDefault="00E108BA" w:rsidP="00122A67">
      <w:pPr>
        <w:ind w:firstLine="720"/>
        <w:contextualSpacing/>
      </w:pPr>
      <w:r>
        <w:t xml:space="preserve">One of the significant differentiators of anthropology from other social sciences such as psychology, history, economics, and sociology is holism, whereby society is not broken into constituent parts (Brenneis &amp; Ellison, 2009). Anthropology views human beings as a complete entity takes into consideration all culture systems such as class, race, gender, religion, law, and politics, among others (Otto &amp; Bubandt, 2011). Emphasis is given on the entirety of the entire system of being such that it becomes possible to understand the human race wholly. Psychology deals with the study of the mind and behaviors, and therefore, unlike anthropology, it is limited to the mind and behaviors. Anthropology, on the contrary, is wholly inclusive of culture (whereby behaviors are included), and additional ways of life including beliefs and norms and the environment in which they live (Otto &amp; Bubandt, 2011). Furthermore, anthropology tries to evaluate how all these cultural systems interlink and how they have influenced social relations. </w:t>
      </w:r>
    </w:p>
    <w:p w:rsidR="00E108BA" w:rsidRDefault="00E108BA" w:rsidP="00122A67">
      <w:pPr>
        <w:ind w:firstLine="720"/>
        <w:contextualSpacing/>
      </w:pPr>
      <w:r>
        <w:t xml:space="preserve">Anthropology also differs from the others because of its capability to promote understanding between cultures (Haviland, Prins, Walrath, &amp; McBride, 2013). Anthropology extends to evaluate the cultural interactions and the emergence similarities and variations. Whereas history is limited to past events, anthropology digs deeper to investigate how cultures change and their translations as they move beyond time and space boundaries (Baumeister &amp; Bushman, 2016). This concept is especially the case when there are engagements with additional ideas, cultures or experiences. </w:t>
      </w:r>
    </w:p>
    <w:p w:rsidR="00E108BA" w:rsidRPr="00122A67" w:rsidRDefault="00E108BA" w:rsidP="00E108BA">
      <w:pPr>
        <w:contextualSpacing/>
        <w:rPr>
          <w:b/>
          <w:i/>
        </w:rPr>
      </w:pPr>
      <w:r w:rsidRPr="00122A67">
        <w:rPr>
          <w:b/>
          <w:i/>
        </w:rPr>
        <w:t xml:space="preserve">Importance of having strict code of ethics in anthropology </w:t>
      </w:r>
    </w:p>
    <w:p w:rsidR="00E108BA" w:rsidRDefault="00E108BA" w:rsidP="00122A67">
      <w:pPr>
        <w:ind w:firstLine="720"/>
        <w:contextualSpacing/>
      </w:pPr>
      <w:r>
        <w:t xml:space="preserve">Anthropology, unlike purely scientific disciplines such as physical sciences, deals with humans and not inanimate objects (Repko, 2008). Therefore, there is a need for the application of </w:t>
      </w:r>
      <w:r>
        <w:lastRenderedPageBreak/>
        <w:t xml:space="preserve">elevated levels of ethics in anthropology than in chemistry or physics research. Since people come from different cultures, there is a need for anthropologists to employ ethics in areas such as privacy. Anthropologists need to engage in conversations with the group under research, and therefore, there is a need for ensuring that confidentiality is maintained especially where sensitive information is concerned. </w:t>
      </w:r>
    </w:p>
    <w:p w:rsidR="00E108BA" w:rsidRDefault="00E108BA" w:rsidP="00122A67">
      <w:pPr>
        <w:ind w:firstLine="720"/>
        <w:contextualSpacing/>
      </w:pPr>
      <w:r>
        <w:t xml:space="preserve">Additionally, it is important to observe strict ethics code in anthropology because of the ease in which information becomes distorted during the research process based on the emotions involved (Fluehr-Lobban, 2002). Since anthropologists deal with human beings and not inanimate objects, they need to rely on the people under research to acquire the right information. If the community under study feels respected, there are high probabilities that they will be truthful in providing the anthropologists with the correct information. The anthropologists need to be assured that the information they unearth is credible because of the impact it will have on readers and other interested groups. </w:t>
      </w:r>
    </w:p>
    <w:p w:rsidR="00E108BA" w:rsidRDefault="00E108BA" w:rsidP="00122A67">
      <w:pPr>
        <w:ind w:firstLine="720"/>
        <w:contextualSpacing/>
      </w:pPr>
      <w:r>
        <w:t xml:space="preserve">However, the credibility of answers would be dependent on the truthfulness of the people being interviewed (Fluehr-Lobban, 2002). Therefore, if the people being interviewed provide wrongful information, the anthropologists will be promoting unlawful information. The way the anthropologists relate to the group determines the effectiveness of the final report. In chemistry and physics, tests can be carried out without considering the ‘feelings’ of the tools involved because the inanimate products are not affected by feelings. The devices will provide answers based on the specimens used and the purpose of the researchers. Therefore, unlike the lifeless products, anthropologists need to initiate a productive relationship founded on honesty, confidentiality, and respect, to get credible information.   </w:t>
      </w:r>
    </w:p>
    <w:p w:rsidR="00E108BA" w:rsidRPr="00122A67" w:rsidRDefault="00E108BA" w:rsidP="00E108BA">
      <w:pPr>
        <w:contextualSpacing/>
        <w:rPr>
          <w:b/>
          <w:i/>
        </w:rPr>
      </w:pPr>
      <w:r w:rsidRPr="00122A67">
        <w:rPr>
          <w:b/>
          <w:i/>
        </w:rPr>
        <w:t>Describing the role played by anthropologists regarding migration and examples</w:t>
      </w:r>
    </w:p>
    <w:p w:rsidR="00E108BA" w:rsidRDefault="00E108BA" w:rsidP="0056299C">
      <w:pPr>
        <w:ind w:firstLine="720"/>
        <w:contextualSpacing/>
      </w:pPr>
      <w:r>
        <w:lastRenderedPageBreak/>
        <w:t xml:space="preserve">Anthropologists play crucial roles in providing information about communities, cultures, and social dimensions (Haviland, Prins, Walrath, &amp; McBride, 2013). As people move from one region to another through migration, there is the exchange of ideas and cultural practices. One of the significant roles played by anthropologists in migration is the provision of information regarding how reciprocity and trust issues evolve in refugee camps (Colson, 2003). </w:t>
      </w:r>
    </w:p>
    <w:p w:rsidR="00E108BA" w:rsidRDefault="00E108BA" w:rsidP="0056299C">
      <w:pPr>
        <w:ind w:firstLine="720"/>
        <w:contextualSpacing/>
      </w:pPr>
      <w:r>
        <w:t xml:space="preserve">When people migrate from one location to another, they may need to trust the community into which they will move, and they also need to be trusted by the same community if their lives are to be comfortable. However, it often emerges the levels of trust among refugee camps are low (Colson, 2003). Therefore, anthropologists play an imperative role in informing readers how the issues of trust and reciprocity are established, and how these issues influence the lives of migrants. </w:t>
      </w:r>
    </w:p>
    <w:p w:rsidR="00E108BA" w:rsidRDefault="00E108BA" w:rsidP="0056299C">
      <w:pPr>
        <w:ind w:firstLine="720"/>
        <w:contextualSpacing/>
      </w:pPr>
      <w:r>
        <w:t xml:space="preserve">In Kampala, Uganda, for example, individuals involved in circular migration between rural communities and working established credit relationships with home people (Colson, 2003). This approach was deemed appropriate because it made it easy to approve defaulters though home linkages. People working in the civil service preferred to establish associations with colleagues because they felt they could trust their colleagues more than those outside the public service (Colson, 2003). Thus, trust is dependent on enduring associations with a profession, home place, or group membership across time and localities. However, relationships established in the immediate present should not be construed to mean that trust will be honored in the future if sanctions application mechanisms will lack. People should know that trust is not earned by exceptional intentions, even when such purposes are perceived (Colson, 2003). Anthropologists, therefore, enhance comprehension that it may be challenging to win trust </w:t>
      </w:r>
      <w:r>
        <w:lastRenderedPageBreak/>
        <w:t xml:space="preserve">among refugees because of the lost, familiar social signals. The environment in which individuals were familiar with, is lost once they migrate to new regions. </w:t>
      </w:r>
    </w:p>
    <w:p w:rsidR="00E108BA" w:rsidRDefault="00E108BA" w:rsidP="0056299C">
      <w:pPr>
        <w:ind w:firstLine="720"/>
        <w:contextualSpacing/>
      </w:pPr>
      <w:r>
        <w:t xml:space="preserve">Anthropologies also have another role of revealing relationships between cultures and countries. Portugal, for example, is a country with 10 million citizens. However many states such as Mozambique (composed of 19 million citizens), Brazil (consisting of 175 million people), Angola (composed of 10 million residents), as well as, Macao, Goa, and Timor, all speak Portuguese (Brettell, 2003). Through anthropology, people get to understand the relationship between migration and colonization and how they have impacted nationalities. Furthermore, anthropologists have the role of unearthing historical elements that explain the evolution of gender-based statuses in society. For example, after the World War II, countries in Europe assumed a women-led society after the migration of men to other regions in search of prosperity (Brettell, 2003). </w:t>
      </w:r>
    </w:p>
    <w:p w:rsidR="00E108BA" w:rsidRDefault="00E108BA" w:rsidP="0056299C">
      <w:pPr>
        <w:ind w:firstLine="720"/>
        <w:contextualSpacing/>
      </w:pPr>
      <w:r>
        <w:t xml:space="preserve"> </w:t>
      </w:r>
    </w:p>
    <w:p w:rsidR="00E108BA" w:rsidRDefault="00E108BA" w:rsidP="0056299C">
      <w:pPr>
        <w:ind w:firstLine="720"/>
        <w:contextualSpacing/>
      </w:pPr>
    </w:p>
    <w:p w:rsidR="00E108BA" w:rsidRDefault="00E108BA" w:rsidP="00E108BA">
      <w:pPr>
        <w:contextualSpacing/>
      </w:pPr>
    </w:p>
    <w:p w:rsidR="00C76CD1" w:rsidRPr="00C76CD1" w:rsidRDefault="00C76CD1">
      <w:pPr>
        <w:contextualSpacing/>
      </w:pPr>
    </w:p>
    <w:p w:rsidR="00C76CD1" w:rsidRPr="00C76CD1" w:rsidRDefault="00C76CD1">
      <w:pPr>
        <w:contextualSpacing/>
      </w:pPr>
    </w:p>
    <w:p w:rsidR="00C76CD1" w:rsidRPr="00C76CD1" w:rsidRDefault="00C76CD1">
      <w:pPr>
        <w:contextualSpacing/>
      </w:pPr>
    </w:p>
    <w:p w:rsidR="004C5013" w:rsidRDefault="004C5013" w:rsidP="00456873">
      <w:pPr>
        <w:ind w:firstLine="720"/>
        <w:contextualSpacing/>
        <w:rPr>
          <w:b/>
          <w:i/>
        </w:rPr>
      </w:pPr>
    </w:p>
    <w:p w:rsidR="00E108BA" w:rsidRPr="00CF081E" w:rsidRDefault="00E108BA" w:rsidP="00456873">
      <w:pPr>
        <w:ind w:firstLine="720"/>
        <w:contextualSpacing/>
      </w:pPr>
    </w:p>
    <w:p w:rsidR="00316825" w:rsidRPr="00CF081E" w:rsidRDefault="00316825" w:rsidP="00456873">
      <w:pPr>
        <w:ind w:firstLine="720"/>
        <w:contextualSpacing/>
      </w:pPr>
    </w:p>
    <w:p w:rsidR="00316825" w:rsidRPr="00CF081E" w:rsidRDefault="00316825" w:rsidP="00C125A2">
      <w:pPr>
        <w:contextualSpacing/>
      </w:pPr>
    </w:p>
    <w:p w:rsidR="003843BB" w:rsidRPr="00CF081E" w:rsidRDefault="003843BB" w:rsidP="00D95763">
      <w:pPr>
        <w:contextualSpacing/>
      </w:pPr>
    </w:p>
    <w:p w:rsidR="007B5AF4" w:rsidRPr="00CF081E" w:rsidRDefault="00316825" w:rsidP="007B5AF4">
      <w:pPr>
        <w:ind w:firstLine="720"/>
        <w:contextualSpacing/>
        <w:jc w:val="center"/>
      </w:pPr>
      <w:r w:rsidRPr="00CF081E">
        <w:lastRenderedPageBreak/>
        <w:t>References</w:t>
      </w:r>
    </w:p>
    <w:p w:rsidR="007B5AF4" w:rsidRPr="00CF081E" w:rsidRDefault="007B5AF4" w:rsidP="003843BB">
      <w:pPr>
        <w:ind w:left="720" w:hanging="720"/>
        <w:contextualSpacing/>
      </w:pPr>
      <w:r w:rsidRPr="00CF081E">
        <w:t xml:space="preserve">Baumeister, R. F., &amp; Bushman, B. J. (2016). </w:t>
      </w:r>
      <w:r w:rsidRPr="00CF081E">
        <w:rPr>
          <w:i/>
        </w:rPr>
        <w:t>Social psychology and human nature</w:t>
      </w:r>
      <w:r w:rsidRPr="00CF081E">
        <w:t xml:space="preserve">. Boston, MA: Cengage Learning. </w:t>
      </w:r>
    </w:p>
    <w:p w:rsidR="007B5AF4" w:rsidRPr="00CF081E" w:rsidRDefault="007B5AF4" w:rsidP="003843BB">
      <w:pPr>
        <w:ind w:left="720" w:hanging="720"/>
        <w:contextualSpacing/>
      </w:pPr>
      <w:r w:rsidRPr="00CF081E">
        <w:t xml:space="preserve">Brenneis, D., &amp; Ellison, P. (2009). Holism and anthropology. </w:t>
      </w:r>
      <w:r w:rsidRPr="00CF081E">
        <w:rPr>
          <w:i/>
        </w:rPr>
        <w:t>Annual Review of Anthropology, 38</w:t>
      </w:r>
      <w:r w:rsidRPr="00CF081E">
        <w:t xml:space="preserve">. Retrieved from </w:t>
      </w:r>
      <w:hyperlink r:id="rId6" w:history="1">
        <w:r w:rsidRPr="00CF081E">
          <w:rPr>
            <w:rStyle w:val="Hyperlink"/>
            <w:color w:val="auto"/>
          </w:rPr>
          <w:t>https://www.annualreviews.org/doi/full/10.1146/annurev.an.38.091009.100001</w:t>
        </w:r>
      </w:hyperlink>
    </w:p>
    <w:p w:rsidR="007B5AF4" w:rsidRPr="00CF081E" w:rsidRDefault="007B5AF4" w:rsidP="003843BB">
      <w:pPr>
        <w:ind w:left="720" w:hanging="720"/>
        <w:contextualSpacing/>
      </w:pPr>
      <w:r w:rsidRPr="00CF081E">
        <w:t xml:space="preserve">Brettell, C. (2003). </w:t>
      </w:r>
      <w:r w:rsidRPr="00CF081E">
        <w:rPr>
          <w:i/>
        </w:rPr>
        <w:t>Anthropology and migration: Essays on transnationalism, ethnicity, and identity</w:t>
      </w:r>
      <w:r w:rsidRPr="00CF081E">
        <w:t xml:space="preserve">. Walnut Creek, CA: Altamira Press. </w:t>
      </w:r>
    </w:p>
    <w:p w:rsidR="007B5AF4" w:rsidRPr="00CF081E" w:rsidRDefault="007B5AF4" w:rsidP="003843BB">
      <w:pPr>
        <w:ind w:left="720" w:hanging="720"/>
        <w:contextualSpacing/>
      </w:pPr>
      <w:r w:rsidRPr="00CF081E">
        <w:t xml:space="preserve">Colson, E. (2003). Forced migration and the anthropological response. </w:t>
      </w:r>
      <w:r w:rsidRPr="00CF081E">
        <w:rPr>
          <w:i/>
        </w:rPr>
        <w:t>Journal of Refugee Studies, 16</w:t>
      </w:r>
      <w:r w:rsidRPr="00CF081E">
        <w:t>(1), 1-18.</w:t>
      </w:r>
    </w:p>
    <w:p w:rsidR="007B5AF4" w:rsidRPr="00CF081E" w:rsidRDefault="007B5AF4" w:rsidP="003843BB">
      <w:pPr>
        <w:ind w:left="720" w:hanging="720"/>
        <w:contextualSpacing/>
      </w:pPr>
      <w:r w:rsidRPr="00CF081E">
        <w:t xml:space="preserve">Fluehr-Lobban, C. (2002). </w:t>
      </w:r>
      <w:r w:rsidRPr="00CF081E">
        <w:rPr>
          <w:i/>
        </w:rPr>
        <w:t>Ethics and the profession of anthropology: Dialogue for ethically conscious practice</w:t>
      </w:r>
      <w:r w:rsidRPr="00CF081E">
        <w:t xml:space="preserve"> (2nd ed.)</w:t>
      </w:r>
      <w:r w:rsidRPr="00CF081E">
        <w:rPr>
          <w:i/>
        </w:rPr>
        <w:t>.</w:t>
      </w:r>
      <w:r w:rsidRPr="00CF081E">
        <w:t xml:space="preserve"> Walnut Creek, CA: Altamira Press. </w:t>
      </w:r>
    </w:p>
    <w:p w:rsidR="007B5AF4" w:rsidRPr="00CF081E" w:rsidRDefault="007B5AF4" w:rsidP="003843BB">
      <w:pPr>
        <w:ind w:left="720" w:hanging="720"/>
        <w:contextualSpacing/>
      </w:pPr>
      <w:r w:rsidRPr="00CF081E">
        <w:t xml:space="preserve">Haviland, W. A., Prins, H. E. L., Walrath, D., &amp; McBride, B. (2013). </w:t>
      </w:r>
      <w:r w:rsidRPr="00CF081E">
        <w:rPr>
          <w:i/>
        </w:rPr>
        <w:t>Anthropology: The human challenge</w:t>
      </w:r>
      <w:r w:rsidRPr="00CF081E">
        <w:t xml:space="preserve"> (14th ed.). Boston, MA: Cengage Learning. </w:t>
      </w:r>
    </w:p>
    <w:p w:rsidR="007B5AF4" w:rsidRPr="00CF081E" w:rsidRDefault="007B5AF4" w:rsidP="003843BB">
      <w:pPr>
        <w:ind w:left="720" w:hanging="720"/>
        <w:contextualSpacing/>
      </w:pPr>
      <w:r w:rsidRPr="00CF081E">
        <w:t xml:space="preserve">Otto, T., &amp; Bubandt, N. (2011). </w:t>
      </w:r>
      <w:r w:rsidRPr="00CF081E">
        <w:rPr>
          <w:i/>
        </w:rPr>
        <w:t>Experiments in holism: Theory and practice in contemporary anthropology</w:t>
      </w:r>
      <w:r w:rsidRPr="00CF081E">
        <w:t xml:space="preserve">. West Sussex, UK: John Wiley &amp; Sons. </w:t>
      </w:r>
    </w:p>
    <w:p w:rsidR="007B5AF4" w:rsidRPr="00CF081E" w:rsidRDefault="007B5AF4" w:rsidP="003843BB">
      <w:pPr>
        <w:ind w:left="720" w:hanging="720"/>
        <w:contextualSpacing/>
      </w:pPr>
      <w:r w:rsidRPr="00CF081E">
        <w:rPr>
          <w:lang w:val="pt-BR"/>
        </w:rPr>
        <w:t xml:space="preserve">Repko, A. F. (2008). </w:t>
      </w:r>
      <w:r w:rsidRPr="00CF081E">
        <w:rPr>
          <w:i/>
        </w:rPr>
        <w:t>Interdisciplinary research: Process and theory</w:t>
      </w:r>
      <w:r w:rsidRPr="00CF081E">
        <w:t>. Thousand Oaks, CA: SAGE.</w:t>
      </w:r>
    </w:p>
    <w:p w:rsidR="0001520B" w:rsidRPr="00CF081E" w:rsidRDefault="0001520B" w:rsidP="003843BB">
      <w:pPr>
        <w:ind w:left="720" w:hanging="720"/>
        <w:contextualSpacing/>
      </w:pPr>
    </w:p>
    <w:sectPr w:rsidR="0001520B" w:rsidRPr="00CF081E" w:rsidSect="00F072C6">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F81" w:rsidRDefault="00793F81" w:rsidP="00F072C6">
      <w:pPr>
        <w:spacing w:after="0" w:line="240" w:lineRule="auto"/>
      </w:pPr>
      <w:r>
        <w:separator/>
      </w:r>
    </w:p>
  </w:endnote>
  <w:endnote w:type="continuationSeparator" w:id="1">
    <w:p w:rsidR="00793F81" w:rsidRDefault="00793F81" w:rsidP="00F07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F81" w:rsidRDefault="00793F81" w:rsidP="00F072C6">
      <w:pPr>
        <w:spacing w:after="0" w:line="240" w:lineRule="auto"/>
      </w:pPr>
      <w:r>
        <w:separator/>
      </w:r>
    </w:p>
  </w:footnote>
  <w:footnote w:type="continuationSeparator" w:id="1">
    <w:p w:rsidR="00793F81" w:rsidRDefault="00793F81" w:rsidP="00F07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6274"/>
      <w:docPartObj>
        <w:docPartGallery w:val="Page Numbers (Top of Page)"/>
        <w:docPartUnique/>
      </w:docPartObj>
    </w:sdtPr>
    <w:sdtContent>
      <w:p w:rsidR="00F072C6" w:rsidRDefault="00F072C6" w:rsidP="00F072C6">
        <w:pPr>
          <w:pStyle w:val="Header"/>
        </w:pPr>
        <w:r>
          <w:t xml:space="preserve">CULTURAL ANTHROPOLOGY                                                                                          </w:t>
        </w:r>
        <w:fldSimple w:instr=" PAGE   \* MERGEFORMAT ">
          <w:r w:rsidR="004422A8">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C6" w:rsidRDefault="00F072C6">
    <w:pPr>
      <w:pStyle w:val="Header"/>
    </w:pPr>
    <w:r>
      <w:t>Running head: CULTURAL ANTHROPOLOGY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C5013"/>
    <w:rsid w:val="00014A93"/>
    <w:rsid w:val="0001520B"/>
    <w:rsid w:val="00044D0E"/>
    <w:rsid w:val="00062073"/>
    <w:rsid w:val="000656EF"/>
    <w:rsid w:val="00066A7D"/>
    <w:rsid w:val="00070A68"/>
    <w:rsid w:val="00074D4A"/>
    <w:rsid w:val="000A0A87"/>
    <w:rsid w:val="000B10D0"/>
    <w:rsid w:val="000B20BC"/>
    <w:rsid w:val="000B48D2"/>
    <w:rsid w:val="00122A67"/>
    <w:rsid w:val="00141462"/>
    <w:rsid w:val="00152769"/>
    <w:rsid w:val="001640FD"/>
    <w:rsid w:val="00164DB2"/>
    <w:rsid w:val="00171AF7"/>
    <w:rsid w:val="00175266"/>
    <w:rsid w:val="0018095B"/>
    <w:rsid w:val="00183289"/>
    <w:rsid w:val="001A1573"/>
    <w:rsid w:val="001A5C6D"/>
    <w:rsid w:val="001A7535"/>
    <w:rsid w:val="001B1E16"/>
    <w:rsid w:val="001C4945"/>
    <w:rsid w:val="001F1944"/>
    <w:rsid w:val="002060D4"/>
    <w:rsid w:val="00206AB6"/>
    <w:rsid w:val="00207374"/>
    <w:rsid w:val="00212959"/>
    <w:rsid w:val="00227719"/>
    <w:rsid w:val="00234098"/>
    <w:rsid w:val="002451B4"/>
    <w:rsid w:val="002650ED"/>
    <w:rsid w:val="002A1129"/>
    <w:rsid w:val="002A52CC"/>
    <w:rsid w:val="002C109F"/>
    <w:rsid w:val="002D7742"/>
    <w:rsid w:val="002E5AC7"/>
    <w:rsid w:val="002F4A48"/>
    <w:rsid w:val="0031061C"/>
    <w:rsid w:val="00310EE9"/>
    <w:rsid w:val="0031600B"/>
    <w:rsid w:val="00316825"/>
    <w:rsid w:val="00320DE1"/>
    <w:rsid w:val="003426E9"/>
    <w:rsid w:val="003843BB"/>
    <w:rsid w:val="003942D1"/>
    <w:rsid w:val="003957A1"/>
    <w:rsid w:val="003B162B"/>
    <w:rsid w:val="003B1704"/>
    <w:rsid w:val="003E35FC"/>
    <w:rsid w:val="003F36DA"/>
    <w:rsid w:val="004204B6"/>
    <w:rsid w:val="0043299E"/>
    <w:rsid w:val="004363B2"/>
    <w:rsid w:val="004422A8"/>
    <w:rsid w:val="00456873"/>
    <w:rsid w:val="00467992"/>
    <w:rsid w:val="004805EA"/>
    <w:rsid w:val="0048222B"/>
    <w:rsid w:val="004B058F"/>
    <w:rsid w:val="004C5013"/>
    <w:rsid w:val="004D0946"/>
    <w:rsid w:val="004F272E"/>
    <w:rsid w:val="004F380B"/>
    <w:rsid w:val="00552427"/>
    <w:rsid w:val="005538A1"/>
    <w:rsid w:val="00557777"/>
    <w:rsid w:val="00560670"/>
    <w:rsid w:val="0056299C"/>
    <w:rsid w:val="00572B90"/>
    <w:rsid w:val="00577445"/>
    <w:rsid w:val="005871E3"/>
    <w:rsid w:val="005B37BF"/>
    <w:rsid w:val="005C2B76"/>
    <w:rsid w:val="005D6C0A"/>
    <w:rsid w:val="005D76E8"/>
    <w:rsid w:val="006035E3"/>
    <w:rsid w:val="006201C8"/>
    <w:rsid w:val="006340D3"/>
    <w:rsid w:val="00644630"/>
    <w:rsid w:val="006460AB"/>
    <w:rsid w:val="006546AB"/>
    <w:rsid w:val="0067144E"/>
    <w:rsid w:val="006769D5"/>
    <w:rsid w:val="006802FB"/>
    <w:rsid w:val="00681AC7"/>
    <w:rsid w:val="006861F3"/>
    <w:rsid w:val="0069461B"/>
    <w:rsid w:val="0069584D"/>
    <w:rsid w:val="006A5DD3"/>
    <w:rsid w:val="006A7842"/>
    <w:rsid w:val="006B44E8"/>
    <w:rsid w:val="006B51C2"/>
    <w:rsid w:val="006C5A4D"/>
    <w:rsid w:val="006C7C63"/>
    <w:rsid w:val="006D4727"/>
    <w:rsid w:val="006E6F8F"/>
    <w:rsid w:val="00702D0B"/>
    <w:rsid w:val="007250D5"/>
    <w:rsid w:val="00742E9B"/>
    <w:rsid w:val="007637EF"/>
    <w:rsid w:val="00765D2C"/>
    <w:rsid w:val="00776921"/>
    <w:rsid w:val="0078183C"/>
    <w:rsid w:val="00791C2D"/>
    <w:rsid w:val="00793F81"/>
    <w:rsid w:val="00797100"/>
    <w:rsid w:val="007A4B43"/>
    <w:rsid w:val="007B0207"/>
    <w:rsid w:val="007B416B"/>
    <w:rsid w:val="007B5AF4"/>
    <w:rsid w:val="007D658C"/>
    <w:rsid w:val="007E77A1"/>
    <w:rsid w:val="007F2A35"/>
    <w:rsid w:val="00803F0C"/>
    <w:rsid w:val="00840716"/>
    <w:rsid w:val="00840942"/>
    <w:rsid w:val="00861EB7"/>
    <w:rsid w:val="00886433"/>
    <w:rsid w:val="008956E8"/>
    <w:rsid w:val="008A0C71"/>
    <w:rsid w:val="008A2100"/>
    <w:rsid w:val="008A55E1"/>
    <w:rsid w:val="008B1C87"/>
    <w:rsid w:val="008B293C"/>
    <w:rsid w:val="008B5467"/>
    <w:rsid w:val="008C0214"/>
    <w:rsid w:val="00920161"/>
    <w:rsid w:val="00923CFA"/>
    <w:rsid w:val="00927DCE"/>
    <w:rsid w:val="00931DD9"/>
    <w:rsid w:val="00936D40"/>
    <w:rsid w:val="00940432"/>
    <w:rsid w:val="00945D26"/>
    <w:rsid w:val="00946123"/>
    <w:rsid w:val="00953BA4"/>
    <w:rsid w:val="00965778"/>
    <w:rsid w:val="009739D2"/>
    <w:rsid w:val="009901B1"/>
    <w:rsid w:val="009D0CBC"/>
    <w:rsid w:val="009D1DAD"/>
    <w:rsid w:val="009E1BB8"/>
    <w:rsid w:val="009F1C2A"/>
    <w:rsid w:val="00A03354"/>
    <w:rsid w:val="00A04058"/>
    <w:rsid w:val="00A04666"/>
    <w:rsid w:val="00A10AB5"/>
    <w:rsid w:val="00A37C4D"/>
    <w:rsid w:val="00A91F41"/>
    <w:rsid w:val="00AA3282"/>
    <w:rsid w:val="00AB29F6"/>
    <w:rsid w:val="00AC15D0"/>
    <w:rsid w:val="00AC526E"/>
    <w:rsid w:val="00AC7F2F"/>
    <w:rsid w:val="00AD5ACC"/>
    <w:rsid w:val="00B1155E"/>
    <w:rsid w:val="00B44A6A"/>
    <w:rsid w:val="00B75AC0"/>
    <w:rsid w:val="00BD64AE"/>
    <w:rsid w:val="00C02A67"/>
    <w:rsid w:val="00C125A2"/>
    <w:rsid w:val="00C14305"/>
    <w:rsid w:val="00C4320F"/>
    <w:rsid w:val="00C45DA9"/>
    <w:rsid w:val="00C516B2"/>
    <w:rsid w:val="00C720DA"/>
    <w:rsid w:val="00C76CD1"/>
    <w:rsid w:val="00C86345"/>
    <w:rsid w:val="00C93F69"/>
    <w:rsid w:val="00C96801"/>
    <w:rsid w:val="00CE2248"/>
    <w:rsid w:val="00CE6D7B"/>
    <w:rsid w:val="00CF081E"/>
    <w:rsid w:val="00CF1536"/>
    <w:rsid w:val="00D03F16"/>
    <w:rsid w:val="00D1233C"/>
    <w:rsid w:val="00D22A0A"/>
    <w:rsid w:val="00D25F1A"/>
    <w:rsid w:val="00D26FA1"/>
    <w:rsid w:val="00D31888"/>
    <w:rsid w:val="00D504F1"/>
    <w:rsid w:val="00D50690"/>
    <w:rsid w:val="00D51942"/>
    <w:rsid w:val="00D71846"/>
    <w:rsid w:val="00D732CC"/>
    <w:rsid w:val="00D823A6"/>
    <w:rsid w:val="00D834C4"/>
    <w:rsid w:val="00D95763"/>
    <w:rsid w:val="00DD34A8"/>
    <w:rsid w:val="00E054D2"/>
    <w:rsid w:val="00E103D3"/>
    <w:rsid w:val="00E108BA"/>
    <w:rsid w:val="00E11134"/>
    <w:rsid w:val="00E2730B"/>
    <w:rsid w:val="00E31D93"/>
    <w:rsid w:val="00E33D60"/>
    <w:rsid w:val="00E4619F"/>
    <w:rsid w:val="00E70E5F"/>
    <w:rsid w:val="00E82EC6"/>
    <w:rsid w:val="00E83C3C"/>
    <w:rsid w:val="00E9002E"/>
    <w:rsid w:val="00E93E0C"/>
    <w:rsid w:val="00EB465C"/>
    <w:rsid w:val="00F029DE"/>
    <w:rsid w:val="00F02E04"/>
    <w:rsid w:val="00F051E7"/>
    <w:rsid w:val="00F072C6"/>
    <w:rsid w:val="00F32CB7"/>
    <w:rsid w:val="00F35068"/>
    <w:rsid w:val="00F35432"/>
    <w:rsid w:val="00F36D73"/>
    <w:rsid w:val="00F428EC"/>
    <w:rsid w:val="00F47F2B"/>
    <w:rsid w:val="00F500CB"/>
    <w:rsid w:val="00FC6039"/>
    <w:rsid w:val="00FE2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C6"/>
  </w:style>
  <w:style w:type="paragraph" w:styleId="Footer">
    <w:name w:val="footer"/>
    <w:basedOn w:val="Normal"/>
    <w:link w:val="FooterChar"/>
    <w:uiPriority w:val="99"/>
    <w:semiHidden/>
    <w:unhideWhenUsed/>
    <w:rsid w:val="00F072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72C6"/>
  </w:style>
  <w:style w:type="character" w:styleId="Hyperlink">
    <w:name w:val="Hyperlink"/>
    <w:basedOn w:val="DefaultParagraphFont"/>
    <w:uiPriority w:val="99"/>
    <w:unhideWhenUsed/>
    <w:rsid w:val="000152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nualreviews.org/doi/full/10.1146/annurev.an.38.091009.1000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2018-02-23T20:21:00Z</dcterms:created>
  <dcterms:modified xsi:type="dcterms:W3CDTF">2018-02-23T20:21:00Z</dcterms:modified>
</cp:coreProperties>
</file>