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82" w:rsidRPr="006C683F" w:rsidRDefault="00664882" w:rsidP="007A51A2">
      <w:pPr>
        <w:spacing w:line="480" w:lineRule="auto"/>
        <w:contextualSpacing/>
      </w:pPr>
    </w:p>
    <w:p w:rsidR="00664882" w:rsidRPr="006C683F" w:rsidRDefault="00664882" w:rsidP="007A51A2">
      <w:pPr>
        <w:spacing w:line="480" w:lineRule="auto"/>
        <w:contextualSpacing/>
      </w:pPr>
    </w:p>
    <w:p w:rsidR="00664882" w:rsidRPr="006C683F" w:rsidRDefault="00664882" w:rsidP="007A51A2">
      <w:pPr>
        <w:spacing w:line="480" w:lineRule="auto"/>
        <w:contextualSpacing/>
      </w:pPr>
    </w:p>
    <w:p w:rsidR="00664882" w:rsidRPr="006C683F" w:rsidRDefault="00664882" w:rsidP="007A51A2">
      <w:pPr>
        <w:spacing w:line="480" w:lineRule="auto"/>
        <w:contextualSpacing/>
      </w:pPr>
    </w:p>
    <w:p w:rsidR="00664882" w:rsidRPr="006C683F" w:rsidRDefault="00664882" w:rsidP="007A51A2">
      <w:pPr>
        <w:spacing w:line="480" w:lineRule="auto"/>
        <w:contextualSpacing/>
      </w:pPr>
    </w:p>
    <w:p w:rsidR="00664882" w:rsidRPr="006C683F" w:rsidRDefault="00664882" w:rsidP="007A51A2">
      <w:pPr>
        <w:spacing w:line="480" w:lineRule="auto"/>
        <w:contextualSpacing/>
      </w:pPr>
    </w:p>
    <w:p w:rsidR="00664882" w:rsidRPr="006C683F" w:rsidRDefault="00664882" w:rsidP="007A51A2">
      <w:pPr>
        <w:spacing w:line="480" w:lineRule="auto"/>
        <w:contextualSpacing/>
      </w:pPr>
    </w:p>
    <w:p w:rsidR="0088072B" w:rsidRPr="006C683F" w:rsidRDefault="00734B60" w:rsidP="00664882">
      <w:pPr>
        <w:spacing w:line="480" w:lineRule="auto"/>
        <w:contextualSpacing/>
        <w:jc w:val="center"/>
      </w:pPr>
      <w:r w:rsidRPr="006C683F">
        <w:t>Nursing</w:t>
      </w:r>
    </w:p>
    <w:p w:rsidR="00664882" w:rsidRPr="006C683F" w:rsidRDefault="00664882" w:rsidP="00664882">
      <w:pPr>
        <w:spacing w:line="480" w:lineRule="auto"/>
        <w:contextualSpacing/>
        <w:jc w:val="center"/>
      </w:pPr>
      <w:r w:rsidRPr="006C683F">
        <w:t>Student’s Name</w:t>
      </w:r>
    </w:p>
    <w:p w:rsidR="00664882" w:rsidRPr="006C683F" w:rsidRDefault="00664882" w:rsidP="00664882">
      <w:pPr>
        <w:spacing w:line="480" w:lineRule="auto"/>
        <w:contextualSpacing/>
        <w:jc w:val="center"/>
      </w:pPr>
      <w:r w:rsidRPr="006C683F">
        <w:t>Institution</w:t>
      </w:r>
    </w:p>
    <w:p w:rsidR="00664882" w:rsidRPr="006C683F" w:rsidRDefault="00664882" w:rsidP="00664882">
      <w:pPr>
        <w:spacing w:line="480" w:lineRule="auto"/>
        <w:contextualSpacing/>
        <w:jc w:val="center"/>
      </w:pPr>
      <w:r w:rsidRPr="006C683F">
        <w:t>Date</w:t>
      </w: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664882" w:rsidRPr="006C683F" w:rsidRDefault="00664882" w:rsidP="00664882">
      <w:pPr>
        <w:spacing w:line="480" w:lineRule="auto"/>
        <w:contextualSpacing/>
        <w:jc w:val="center"/>
      </w:pPr>
    </w:p>
    <w:p w:rsidR="00B71170" w:rsidRPr="006C683F" w:rsidRDefault="00E837B7" w:rsidP="00C207F8">
      <w:pPr>
        <w:spacing w:line="480" w:lineRule="auto"/>
        <w:ind w:firstLine="720"/>
        <w:contextualSpacing/>
      </w:pPr>
      <w:r w:rsidRPr="006C683F">
        <w:lastRenderedPageBreak/>
        <w:t xml:space="preserve">There are various factors with the </w:t>
      </w:r>
      <w:r w:rsidR="00D95115" w:rsidRPr="006C683F">
        <w:t>potential</w:t>
      </w:r>
      <w:r w:rsidRPr="006C683F">
        <w:t xml:space="preserve"> of increasing an individual’s vulnerability. </w:t>
      </w:r>
      <w:r w:rsidR="00E74FDF" w:rsidRPr="006C683F">
        <w:t>For exampl</w:t>
      </w:r>
      <w:r w:rsidR="002331D7" w:rsidRPr="006C683F">
        <w:t>e, homelessness can increase one’</w:t>
      </w:r>
      <w:r w:rsidR="0061070F" w:rsidRPr="006C683F">
        <w:t>s vulnerability due to the exposure to insecurity and limited access to health services</w:t>
      </w:r>
      <w:r w:rsidR="001B7E0B" w:rsidRPr="006C683F">
        <w:t xml:space="preserve"> (Strehlow &amp; Amos-Jones, 1999)</w:t>
      </w:r>
      <w:r w:rsidR="003F3186" w:rsidRPr="006C683F">
        <w:t xml:space="preserve">. Furthermore, a homeless </w:t>
      </w:r>
      <w:r w:rsidR="001A0F59" w:rsidRPr="006C683F">
        <w:t xml:space="preserve">person lacks a shelter that can offer protection from </w:t>
      </w:r>
      <w:r w:rsidR="00C94B84">
        <w:t xml:space="preserve">the </w:t>
      </w:r>
      <w:r w:rsidR="001A0F59" w:rsidRPr="006C683F">
        <w:t xml:space="preserve">hostile weather. </w:t>
      </w:r>
    </w:p>
    <w:p w:rsidR="00716E44" w:rsidRPr="006C683F" w:rsidRDefault="00C9316D" w:rsidP="00C207F8">
      <w:pPr>
        <w:spacing w:line="480" w:lineRule="auto"/>
        <w:ind w:firstLine="720"/>
        <w:contextualSpacing/>
      </w:pPr>
      <w:r w:rsidRPr="006C683F">
        <w:t xml:space="preserve">When individuals are poor, they lack the necessary </w:t>
      </w:r>
      <w:r w:rsidR="00CC3620" w:rsidRPr="006C683F">
        <w:t>resources to; have quality food, access quality health care, and afford quality housing</w:t>
      </w:r>
      <w:r w:rsidR="00FD1280" w:rsidRPr="006C683F">
        <w:t xml:space="preserve"> (The World Bank, 2014)</w:t>
      </w:r>
      <w:r w:rsidR="00CC3620" w:rsidRPr="006C683F">
        <w:t xml:space="preserve">. Therefore, they become vulnerable to diseases, malnutrition, and insecurity. </w:t>
      </w:r>
      <w:r w:rsidR="006332FD" w:rsidRPr="006C683F">
        <w:t>Mental disorders hinder effective decision making, thus making the affected person more vulnerable to suicide</w:t>
      </w:r>
      <w:r w:rsidR="003946A2" w:rsidRPr="006C683F">
        <w:t xml:space="preserve"> (Bakalar, 2013)</w:t>
      </w:r>
      <w:r w:rsidR="006332FD" w:rsidRPr="006C683F">
        <w:t xml:space="preserve">. </w:t>
      </w:r>
    </w:p>
    <w:p w:rsidR="0048522D" w:rsidRPr="006C683F" w:rsidRDefault="00D33094" w:rsidP="00B82844">
      <w:pPr>
        <w:spacing w:line="480" w:lineRule="auto"/>
        <w:ind w:firstLine="720"/>
        <w:contextualSpacing/>
      </w:pPr>
      <w:r w:rsidRPr="006C683F">
        <w:t>It is possible to find that quality infrastructures lack</w:t>
      </w:r>
      <w:r w:rsidR="00E22C55" w:rsidRPr="006C683F">
        <w:t xml:space="preserve"> in rura</w:t>
      </w:r>
      <w:r w:rsidR="00426762" w:rsidRPr="006C683F">
        <w:t>l settings such that residents in such regions may find it challenging to access quality services such as education</w:t>
      </w:r>
      <w:r w:rsidR="005823EF" w:rsidRPr="006C683F">
        <w:t>, healthcare</w:t>
      </w:r>
      <w:r w:rsidR="00D030C3">
        <w:t>,</w:t>
      </w:r>
      <w:r w:rsidR="005823EF" w:rsidRPr="006C683F">
        <w:t xml:space="preserve"> and additional social amenities. </w:t>
      </w:r>
      <w:r w:rsidR="00C42ED0" w:rsidRPr="006C683F">
        <w:t xml:space="preserve">Additionally, these settings may lack health specialists thus hindering the effective response to </w:t>
      </w:r>
      <w:r w:rsidR="00154352">
        <w:t>emergencies</w:t>
      </w:r>
      <w:r w:rsidR="00C42ED0" w:rsidRPr="006C683F">
        <w:t xml:space="preserve"> when they arise</w:t>
      </w:r>
      <w:r w:rsidR="006A368C" w:rsidRPr="006C683F">
        <w:t xml:space="preserve"> (Pavarini </w:t>
      </w:r>
      <w:r w:rsidR="006A368C" w:rsidRPr="006C683F">
        <w:rPr>
          <w:i/>
        </w:rPr>
        <w:t>et al.</w:t>
      </w:r>
      <w:r w:rsidR="006A368C" w:rsidRPr="006C683F">
        <w:t>, 2017)</w:t>
      </w:r>
      <w:r w:rsidR="0048522D" w:rsidRPr="006C683F">
        <w:t>.</w:t>
      </w:r>
    </w:p>
    <w:p w:rsidR="0048522D" w:rsidRPr="006C683F" w:rsidRDefault="00B82844" w:rsidP="00B82844">
      <w:pPr>
        <w:spacing w:line="480" w:lineRule="auto"/>
        <w:ind w:firstLine="720"/>
        <w:contextualSpacing/>
      </w:pPr>
      <w:r w:rsidRPr="006C683F">
        <w:t>Moreover, d</w:t>
      </w:r>
      <w:r w:rsidR="009D5836" w:rsidRPr="006C683F">
        <w:t xml:space="preserve">ifferent countries have different policies regarding healthcare access to migrants and in such instances, </w:t>
      </w:r>
      <w:r w:rsidR="00920B2F" w:rsidRPr="006C683F">
        <w:t xml:space="preserve">and based </w:t>
      </w:r>
      <w:r w:rsidR="002C63C6" w:rsidRPr="006C683F">
        <w:t xml:space="preserve">on the immigration </w:t>
      </w:r>
      <w:r w:rsidR="008538F8" w:rsidRPr="006C683F">
        <w:t>status;</w:t>
      </w:r>
      <w:r w:rsidR="002C63C6" w:rsidRPr="006C683F">
        <w:t xml:space="preserve"> the migr</w:t>
      </w:r>
      <w:r w:rsidR="003D3C60" w:rsidRPr="006C683F">
        <w:t>ants may not be eligible for some services, such as healt</w:t>
      </w:r>
      <w:r w:rsidR="00E716EE" w:rsidRPr="006C683F">
        <w:t>h subsidies</w:t>
      </w:r>
      <w:r w:rsidR="00FA6AD0" w:rsidRPr="006C683F">
        <w:t xml:space="preserve"> and specialized </w:t>
      </w:r>
      <w:r w:rsidR="00E24CA9" w:rsidRPr="006C683F">
        <w:t>treatments</w:t>
      </w:r>
      <w:r w:rsidR="00E716EE" w:rsidRPr="006C683F">
        <w:t xml:space="preserve"> that citizens enjoy and this augments their vulnerability</w:t>
      </w:r>
      <w:r w:rsidR="00FA6AD0" w:rsidRPr="006C683F">
        <w:t xml:space="preserve"> (World Health Organization (WHO), 2018)</w:t>
      </w:r>
      <w:r w:rsidR="00E716EE" w:rsidRPr="006C683F">
        <w:t xml:space="preserve">. </w:t>
      </w:r>
      <w:r w:rsidR="006B5FD0" w:rsidRPr="006C683F">
        <w:t xml:space="preserve"> </w:t>
      </w:r>
    </w:p>
    <w:p w:rsidR="00572211" w:rsidRPr="006C683F" w:rsidRDefault="00EB0DF0" w:rsidP="00B82844">
      <w:pPr>
        <w:spacing w:line="480" w:lineRule="auto"/>
        <w:ind w:firstLine="720"/>
        <w:contextualSpacing/>
      </w:pPr>
      <w:r w:rsidRPr="006C683F">
        <w:t xml:space="preserve">Furthermore, infectious diseases also increase one’s vulnerability </w:t>
      </w:r>
      <w:r w:rsidR="004939C1" w:rsidRPr="006C683F">
        <w:t>because of the exposure to viruses, bacteria, parasites</w:t>
      </w:r>
      <w:r w:rsidR="007367FE">
        <w:t>,</w:t>
      </w:r>
      <w:r w:rsidR="004939C1" w:rsidRPr="006C683F">
        <w:t xml:space="preserve"> and fungi</w:t>
      </w:r>
      <w:r w:rsidR="004C0DDD" w:rsidRPr="006C683F">
        <w:t xml:space="preserve"> (Moore, Gelfeld, Okunogbe, &amp; Paul, 2017)</w:t>
      </w:r>
      <w:r w:rsidR="004939C1" w:rsidRPr="006C683F">
        <w:t xml:space="preserve">. These organisms have the potential of </w:t>
      </w:r>
      <w:r w:rsidR="00CD0E14" w:rsidRPr="006C683F">
        <w:t xml:space="preserve">affecting one’s </w:t>
      </w:r>
      <w:r w:rsidR="00FF1A7E" w:rsidRPr="006C683F">
        <w:t>health and thus making them more vulnerable to poor health.</w:t>
      </w:r>
      <w:r w:rsidR="00030C5F" w:rsidRPr="006C683F">
        <w:t xml:space="preserve"> Addi</w:t>
      </w:r>
      <w:r w:rsidR="00572211" w:rsidRPr="006C683F">
        <w:t xml:space="preserve">ctions, such as </w:t>
      </w:r>
      <w:r w:rsidR="000160F6" w:rsidRPr="006C683F">
        <w:t xml:space="preserve">smoking, </w:t>
      </w:r>
      <w:r w:rsidR="0074067A" w:rsidRPr="006C683F">
        <w:t xml:space="preserve">make individuals vulnerable to </w:t>
      </w:r>
      <w:r w:rsidR="001504D5" w:rsidRPr="006C683F">
        <w:t>adverse health issues such as lung cancer</w:t>
      </w:r>
      <w:r w:rsidR="00ED48EB" w:rsidRPr="006C683F">
        <w:t xml:space="preserve"> (</w:t>
      </w:r>
      <w:r w:rsidR="00804A60" w:rsidRPr="006C683F">
        <w:t xml:space="preserve">Borrelli, Hayes, </w:t>
      </w:r>
      <w:r w:rsidR="00ED48EB" w:rsidRPr="006C683F">
        <w:t>Dunsiger &amp; Fava, 2010)</w:t>
      </w:r>
      <w:r w:rsidR="001504D5" w:rsidRPr="006C683F">
        <w:t xml:space="preserve">. </w:t>
      </w:r>
      <w:r w:rsidR="002115B2" w:rsidRPr="006C683F">
        <w:t xml:space="preserve">It can be observed that </w:t>
      </w:r>
      <w:r w:rsidR="00945128" w:rsidRPr="006C683F">
        <w:t>viol</w:t>
      </w:r>
      <w:r w:rsidR="00804A60" w:rsidRPr="006C683F">
        <w:t>ence can augment vulnerability in the sense that v</w:t>
      </w:r>
      <w:r w:rsidR="001C3973" w:rsidRPr="006C683F">
        <w:t xml:space="preserve">iolent individuals </w:t>
      </w:r>
      <w:r w:rsidR="001A3861" w:rsidRPr="006C683F">
        <w:t xml:space="preserve">have an elevated chance of </w:t>
      </w:r>
      <w:r w:rsidR="00722CD6" w:rsidRPr="006C683F">
        <w:t>incarceration than non-violent individuals</w:t>
      </w:r>
      <w:r w:rsidR="00F24F98" w:rsidRPr="006C683F">
        <w:t xml:space="preserve"> (Baylor College of Medicine, 2018)</w:t>
      </w:r>
      <w:r w:rsidR="00722CD6" w:rsidRPr="006C683F">
        <w:t xml:space="preserve">. Thus, it can be </w:t>
      </w:r>
      <w:r w:rsidR="00722CD6" w:rsidRPr="006C683F">
        <w:lastRenderedPageBreak/>
        <w:t xml:space="preserve">observed that the risk of </w:t>
      </w:r>
      <w:r w:rsidR="00127D52" w:rsidRPr="006C683F">
        <w:t xml:space="preserve">getting jailed is high for violent persons than those that are not violent. Hence, </w:t>
      </w:r>
      <w:r w:rsidR="003A102B" w:rsidRPr="006C683F">
        <w:t xml:space="preserve">violence augments one’s vulnerability to prosecutions and incarcerations. </w:t>
      </w:r>
    </w:p>
    <w:p w:rsidR="00C969FB" w:rsidRPr="006C683F" w:rsidRDefault="00C969FB" w:rsidP="00C207F8">
      <w:pPr>
        <w:spacing w:line="480" w:lineRule="auto"/>
        <w:ind w:firstLine="720"/>
        <w:contextualSpacing/>
      </w:pPr>
    </w:p>
    <w:p w:rsidR="00C969FB" w:rsidRPr="006C683F" w:rsidRDefault="00C969FB" w:rsidP="00C207F8">
      <w:pPr>
        <w:spacing w:line="480" w:lineRule="auto"/>
        <w:ind w:firstLine="720"/>
        <w:contextualSpacing/>
      </w:pPr>
    </w:p>
    <w:p w:rsidR="00C969FB" w:rsidRPr="006C683F" w:rsidRDefault="00C969FB" w:rsidP="007A51A2">
      <w:pPr>
        <w:spacing w:line="480" w:lineRule="auto"/>
        <w:contextualSpacing/>
      </w:pPr>
    </w:p>
    <w:p w:rsidR="00C969FB" w:rsidRPr="006C683F" w:rsidRDefault="00C969FB" w:rsidP="007A51A2">
      <w:pPr>
        <w:spacing w:line="480" w:lineRule="auto"/>
        <w:contextualSpacing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C969FB">
      <w:pPr>
        <w:spacing w:line="480" w:lineRule="auto"/>
        <w:contextualSpacing/>
        <w:jc w:val="center"/>
      </w:pPr>
    </w:p>
    <w:p w:rsidR="007812BE" w:rsidRPr="006C683F" w:rsidRDefault="007812BE" w:rsidP="00220337">
      <w:pPr>
        <w:spacing w:line="480" w:lineRule="auto"/>
        <w:contextualSpacing/>
      </w:pPr>
    </w:p>
    <w:p w:rsidR="00220337" w:rsidRPr="006C683F" w:rsidRDefault="00220337" w:rsidP="00220337">
      <w:pPr>
        <w:spacing w:line="480" w:lineRule="auto"/>
        <w:contextualSpacing/>
      </w:pPr>
    </w:p>
    <w:p w:rsidR="00220337" w:rsidRPr="006C683F" w:rsidRDefault="00C969FB" w:rsidP="00220337">
      <w:pPr>
        <w:spacing w:line="480" w:lineRule="auto"/>
        <w:contextualSpacing/>
        <w:jc w:val="center"/>
      </w:pPr>
      <w:r w:rsidRPr="006C683F">
        <w:lastRenderedPageBreak/>
        <w:t>References</w:t>
      </w:r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t xml:space="preserve">Bakalar, N. (2013). </w:t>
      </w:r>
      <w:r w:rsidRPr="006C683F">
        <w:rPr>
          <w:i/>
        </w:rPr>
        <w:t>Mental illness and vulnerability</w:t>
      </w:r>
      <w:r w:rsidRPr="006C683F">
        <w:t xml:space="preserve">. Retrieved from </w:t>
      </w:r>
      <w:hyperlink r:id="rId6" w:history="1">
        <w:r w:rsidRPr="006C683F">
          <w:rPr>
            <w:rStyle w:val="Hyperlink"/>
            <w:color w:val="auto"/>
          </w:rPr>
          <w:t>https://well.blogs.nytimes.com/2013/03/11/mental-illness-and-vulnerability/</w:t>
        </w:r>
      </w:hyperlink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t xml:space="preserve">Baylor College of Medicine. (2018). </w:t>
      </w:r>
      <w:r w:rsidRPr="006C683F">
        <w:rPr>
          <w:i/>
        </w:rPr>
        <w:t>Vulnerability for abuse</w:t>
      </w:r>
      <w:r w:rsidRPr="006C683F">
        <w:t xml:space="preserve">. Retrieved from </w:t>
      </w:r>
      <w:hyperlink r:id="rId7" w:history="1">
        <w:r w:rsidRPr="006C683F">
          <w:rPr>
            <w:rStyle w:val="Hyperlink"/>
            <w:color w:val="auto"/>
          </w:rPr>
          <w:t>https://www.bcm.edu/research/centers/research-on-women-with-disabilities/topics/violence/vulnerability-for-abuse</w:t>
        </w:r>
      </w:hyperlink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rPr>
          <w:lang w:val="es-ES"/>
        </w:rPr>
        <w:t xml:space="preserve">Borrelli, B., Hayes, R. B., Dunsiger, S., &amp; Fava, J. L. (2010). </w:t>
      </w:r>
      <w:r w:rsidRPr="006C683F">
        <w:t xml:space="preserve">Risk perception and smoking behavior in medically III smokers: A prospective study. </w:t>
      </w:r>
      <w:r w:rsidRPr="006C683F">
        <w:rPr>
          <w:i/>
        </w:rPr>
        <w:t>Addiction, 105</w:t>
      </w:r>
      <w:r w:rsidRPr="006C683F">
        <w:t>(6), 1100-1108.</w:t>
      </w:r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t xml:space="preserve">Moore, M., Gelfeld, B., Okunogbe, A., &amp; Paul, C. (2017). Identifying future diseases hot spots. </w:t>
      </w:r>
      <w:r w:rsidRPr="006C683F">
        <w:rPr>
          <w:i/>
        </w:rPr>
        <w:t>Rand Health Quarterly, 6</w:t>
      </w:r>
      <w:r w:rsidRPr="006C683F">
        <w:t xml:space="preserve">(3), 5. Retrieved from </w:t>
      </w:r>
      <w:hyperlink r:id="rId8" w:history="1">
        <w:r w:rsidRPr="006C683F">
          <w:rPr>
            <w:rStyle w:val="Hyperlink"/>
            <w:color w:val="auto"/>
          </w:rPr>
          <w:t>https://www.ncbi.nlm.nih.gov/pmc/articles/PMC5568150/</w:t>
        </w:r>
      </w:hyperlink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t xml:space="preserve">Pavarini, S. C., Neri, A. L., Brigola, A. G., Ottaviani, A. C., Souza, E. N., Rossetti, E. S., &amp; …Luchesi, B. M.  (2017). Elderly caregivers living in urban, rural and high social vulnerability contexts. </w:t>
      </w:r>
      <w:r w:rsidRPr="006C683F">
        <w:rPr>
          <w:i/>
        </w:rPr>
        <w:t>Journal of School of Nursing University of Sao Paulo 51</w:t>
      </w:r>
      <w:r w:rsidRPr="006C683F">
        <w:t>, 1-7.</w:t>
      </w:r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t xml:space="preserve">Strehlow, A. J., &amp; Amos-Jones, T. (1999). The homeless as a vulnerable population. </w:t>
      </w:r>
      <w:r w:rsidRPr="006C683F">
        <w:rPr>
          <w:i/>
        </w:rPr>
        <w:t>The Nursing Clinics of North America, 34</w:t>
      </w:r>
      <w:r w:rsidRPr="006C683F">
        <w:t>(2), 261-274.</w:t>
      </w:r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t xml:space="preserve">The World Bank. (2014). </w:t>
      </w:r>
      <w:r w:rsidRPr="006C683F">
        <w:rPr>
          <w:i/>
        </w:rPr>
        <w:t>Poverty and health</w:t>
      </w:r>
      <w:r w:rsidRPr="006C683F">
        <w:t xml:space="preserve">. Retrieved from </w:t>
      </w:r>
      <w:hyperlink r:id="rId9" w:history="1">
        <w:r w:rsidRPr="006C683F">
          <w:rPr>
            <w:rStyle w:val="Hyperlink"/>
            <w:color w:val="auto"/>
          </w:rPr>
          <w:t>http://www.worldbank.org/en/topic/health/brief/poverty-health</w:t>
        </w:r>
      </w:hyperlink>
    </w:p>
    <w:p w:rsidR="00220337" w:rsidRPr="006C683F" w:rsidRDefault="00220337" w:rsidP="007812BE">
      <w:pPr>
        <w:spacing w:line="480" w:lineRule="auto"/>
        <w:ind w:left="720" w:hanging="720"/>
        <w:contextualSpacing/>
      </w:pPr>
      <w:r w:rsidRPr="006C683F">
        <w:t xml:space="preserve">World Health Organization (WHO). (2018). Overcoming migrant’s barriers to health. </w:t>
      </w:r>
      <w:r w:rsidRPr="006C683F">
        <w:rPr>
          <w:i/>
        </w:rPr>
        <w:t>Bulleting of the World Health Organization, 86</w:t>
      </w:r>
      <w:r w:rsidRPr="006C683F">
        <w:t>(8), 577-656.</w:t>
      </w:r>
    </w:p>
    <w:p w:rsidR="00320531" w:rsidRPr="006C683F" w:rsidRDefault="00320531" w:rsidP="007812BE">
      <w:pPr>
        <w:spacing w:line="480" w:lineRule="auto"/>
        <w:ind w:left="720" w:hanging="720"/>
        <w:contextualSpacing/>
      </w:pPr>
    </w:p>
    <w:p w:rsidR="00054911" w:rsidRPr="006C683F" w:rsidRDefault="00054911" w:rsidP="007812BE">
      <w:pPr>
        <w:spacing w:line="480" w:lineRule="auto"/>
        <w:ind w:left="720" w:hanging="720"/>
        <w:contextualSpacing/>
      </w:pPr>
    </w:p>
    <w:p w:rsidR="002459B7" w:rsidRPr="006C683F" w:rsidRDefault="002459B7" w:rsidP="00C969FB">
      <w:pPr>
        <w:spacing w:line="480" w:lineRule="auto"/>
        <w:contextualSpacing/>
      </w:pPr>
    </w:p>
    <w:sectPr w:rsidR="002459B7" w:rsidRPr="006C683F" w:rsidSect="00664882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454" w:rsidRDefault="00134454" w:rsidP="00664882">
      <w:pPr>
        <w:spacing w:after="0" w:line="240" w:lineRule="auto"/>
      </w:pPr>
      <w:r>
        <w:separator/>
      </w:r>
    </w:p>
  </w:endnote>
  <w:endnote w:type="continuationSeparator" w:id="1">
    <w:p w:rsidR="00134454" w:rsidRDefault="00134454" w:rsidP="0066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454" w:rsidRDefault="00134454" w:rsidP="00664882">
      <w:pPr>
        <w:spacing w:after="0" w:line="240" w:lineRule="auto"/>
      </w:pPr>
      <w:r>
        <w:separator/>
      </w:r>
    </w:p>
  </w:footnote>
  <w:footnote w:type="continuationSeparator" w:id="1">
    <w:p w:rsidR="00134454" w:rsidRDefault="00134454" w:rsidP="0066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38901"/>
      <w:docPartObj>
        <w:docPartGallery w:val="Page Numbers (Top of Page)"/>
        <w:docPartUnique/>
      </w:docPartObj>
    </w:sdtPr>
    <w:sdtContent>
      <w:p w:rsidR="003F1074" w:rsidRDefault="003F1074" w:rsidP="00664882">
        <w:pPr>
          <w:pStyle w:val="Header"/>
        </w:pPr>
        <w:r>
          <w:t xml:space="preserve">NURSING                                                                                                                               </w:t>
        </w:r>
        <w:fldSimple w:instr=" PAGE   \* MERGEFORMAT ">
          <w:r w:rsidR="00C94B84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074" w:rsidRDefault="003F1074">
    <w:pPr>
      <w:pStyle w:val="Header"/>
    </w:pPr>
    <w:r>
      <w:t xml:space="preserve">Running head: </w:t>
    </w:r>
    <w:r w:rsidRPr="00714977">
      <w:t>NURSING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1A2"/>
    <w:rsid w:val="000160F6"/>
    <w:rsid w:val="0002473A"/>
    <w:rsid w:val="00030C5F"/>
    <w:rsid w:val="00037D63"/>
    <w:rsid w:val="00051B1A"/>
    <w:rsid w:val="00054911"/>
    <w:rsid w:val="00075FD2"/>
    <w:rsid w:val="0009460B"/>
    <w:rsid w:val="00111379"/>
    <w:rsid w:val="001169D9"/>
    <w:rsid w:val="00127D52"/>
    <w:rsid w:val="00134454"/>
    <w:rsid w:val="00134CA1"/>
    <w:rsid w:val="00145C0C"/>
    <w:rsid w:val="001504D5"/>
    <w:rsid w:val="00154352"/>
    <w:rsid w:val="001A0F59"/>
    <w:rsid w:val="001A3861"/>
    <w:rsid w:val="001B7E0B"/>
    <w:rsid w:val="001C1228"/>
    <w:rsid w:val="001C3973"/>
    <w:rsid w:val="001C5DC1"/>
    <w:rsid w:val="002115B2"/>
    <w:rsid w:val="00220337"/>
    <w:rsid w:val="002331D7"/>
    <w:rsid w:val="002459B7"/>
    <w:rsid w:val="00287AB2"/>
    <w:rsid w:val="002A7566"/>
    <w:rsid w:val="002C63C6"/>
    <w:rsid w:val="00320531"/>
    <w:rsid w:val="003266A6"/>
    <w:rsid w:val="00352903"/>
    <w:rsid w:val="00374DD9"/>
    <w:rsid w:val="0037733B"/>
    <w:rsid w:val="0038572D"/>
    <w:rsid w:val="003946A2"/>
    <w:rsid w:val="003A102B"/>
    <w:rsid w:val="003A45D7"/>
    <w:rsid w:val="003C3A15"/>
    <w:rsid w:val="003D3C60"/>
    <w:rsid w:val="003E49B4"/>
    <w:rsid w:val="003F1074"/>
    <w:rsid w:val="003F3186"/>
    <w:rsid w:val="00411D7E"/>
    <w:rsid w:val="00426762"/>
    <w:rsid w:val="004651E2"/>
    <w:rsid w:val="004727C4"/>
    <w:rsid w:val="0048522D"/>
    <w:rsid w:val="004939C1"/>
    <w:rsid w:val="004C0DDD"/>
    <w:rsid w:val="004C113A"/>
    <w:rsid w:val="00544040"/>
    <w:rsid w:val="005572DA"/>
    <w:rsid w:val="00572211"/>
    <w:rsid w:val="005823EF"/>
    <w:rsid w:val="0061070F"/>
    <w:rsid w:val="006332FD"/>
    <w:rsid w:val="00664882"/>
    <w:rsid w:val="006A368C"/>
    <w:rsid w:val="006B5FD0"/>
    <w:rsid w:val="006C224C"/>
    <w:rsid w:val="006C683F"/>
    <w:rsid w:val="006D2F23"/>
    <w:rsid w:val="00714977"/>
    <w:rsid w:val="00716E44"/>
    <w:rsid w:val="007212BF"/>
    <w:rsid w:val="00722CD6"/>
    <w:rsid w:val="00734B60"/>
    <w:rsid w:val="007367FE"/>
    <w:rsid w:val="0074067A"/>
    <w:rsid w:val="00775F7C"/>
    <w:rsid w:val="007812BE"/>
    <w:rsid w:val="007A51A2"/>
    <w:rsid w:val="007D4291"/>
    <w:rsid w:val="00804A60"/>
    <w:rsid w:val="008538F8"/>
    <w:rsid w:val="0088072B"/>
    <w:rsid w:val="008B4481"/>
    <w:rsid w:val="008D2BA0"/>
    <w:rsid w:val="0090020D"/>
    <w:rsid w:val="0090785D"/>
    <w:rsid w:val="00920B2F"/>
    <w:rsid w:val="00921E22"/>
    <w:rsid w:val="00945128"/>
    <w:rsid w:val="0097046C"/>
    <w:rsid w:val="009A033A"/>
    <w:rsid w:val="009D3760"/>
    <w:rsid w:val="009D5836"/>
    <w:rsid w:val="009F1D21"/>
    <w:rsid w:val="00A2054D"/>
    <w:rsid w:val="00A2700B"/>
    <w:rsid w:val="00A7646E"/>
    <w:rsid w:val="00A7746B"/>
    <w:rsid w:val="00A82099"/>
    <w:rsid w:val="00AC6F23"/>
    <w:rsid w:val="00AD77FD"/>
    <w:rsid w:val="00B700CF"/>
    <w:rsid w:val="00B71170"/>
    <w:rsid w:val="00B7336F"/>
    <w:rsid w:val="00B80A1F"/>
    <w:rsid w:val="00B82844"/>
    <w:rsid w:val="00B8304C"/>
    <w:rsid w:val="00BE0D93"/>
    <w:rsid w:val="00C207F8"/>
    <w:rsid w:val="00C42ED0"/>
    <w:rsid w:val="00C9316D"/>
    <w:rsid w:val="00C94B84"/>
    <w:rsid w:val="00C969FB"/>
    <w:rsid w:val="00CA25FD"/>
    <w:rsid w:val="00CC3620"/>
    <w:rsid w:val="00CD0E14"/>
    <w:rsid w:val="00D030C3"/>
    <w:rsid w:val="00D07086"/>
    <w:rsid w:val="00D33094"/>
    <w:rsid w:val="00D568EB"/>
    <w:rsid w:val="00D56D49"/>
    <w:rsid w:val="00D95115"/>
    <w:rsid w:val="00DC60F8"/>
    <w:rsid w:val="00E22C55"/>
    <w:rsid w:val="00E24CA9"/>
    <w:rsid w:val="00E716EE"/>
    <w:rsid w:val="00E74FDF"/>
    <w:rsid w:val="00E75AE1"/>
    <w:rsid w:val="00E837B7"/>
    <w:rsid w:val="00EB0DF0"/>
    <w:rsid w:val="00ED48DE"/>
    <w:rsid w:val="00ED48EB"/>
    <w:rsid w:val="00F24F98"/>
    <w:rsid w:val="00F5026A"/>
    <w:rsid w:val="00F70F11"/>
    <w:rsid w:val="00F7523B"/>
    <w:rsid w:val="00F80D8A"/>
    <w:rsid w:val="00FA6AD0"/>
    <w:rsid w:val="00FD1280"/>
    <w:rsid w:val="00FF143C"/>
    <w:rsid w:val="00FF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82"/>
  </w:style>
  <w:style w:type="paragraph" w:styleId="Footer">
    <w:name w:val="footer"/>
    <w:basedOn w:val="Normal"/>
    <w:link w:val="FooterChar"/>
    <w:uiPriority w:val="99"/>
    <w:semiHidden/>
    <w:unhideWhenUsed/>
    <w:rsid w:val="00664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882"/>
  </w:style>
  <w:style w:type="character" w:styleId="Hyperlink">
    <w:name w:val="Hyperlink"/>
    <w:basedOn w:val="DefaultParagraphFont"/>
    <w:uiPriority w:val="99"/>
    <w:unhideWhenUsed/>
    <w:rsid w:val="004C11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56815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cm.edu/research/centers/research-on-women-with-disabilities/topics/violence/vulnerability-for-abu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ll.blogs.nytimes.com/2013/03/11/mental-illness-and-vulnerability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worldbank.org/en/topic/health/brief/poverty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121</cp:revision>
  <dcterms:created xsi:type="dcterms:W3CDTF">2018-06-02T16:07:00Z</dcterms:created>
  <dcterms:modified xsi:type="dcterms:W3CDTF">2018-06-02T19:39:00Z</dcterms:modified>
</cp:coreProperties>
</file>