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E40" w:rsidRPr="00360F4E" w:rsidRDefault="00D14E40">
      <w:r w:rsidRPr="00360F4E">
        <w:t>Name of Student</w:t>
      </w:r>
    </w:p>
    <w:p w:rsidR="00D14E40" w:rsidRPr="00360F4E" w:rsidRDefault="00D14E40">
      <w:r w:rsidRPr="00360F4E">
        <w:t>Name of Professor</w:t>
      </w:r>
    </w:p>
    <w:p w:rsidR="00D14E40" w:rsidRPr="00360F4E" w:rsidRDefault="00D14E40">
      <w:r w:rsidRPr="00360F4E">
        <w:t>Course</w:t>
      </w:r>
    </w:p>
    <w:p w:rsidR="0088072B" w:rsidRPr="00360F4E" w:rsidRDefault="00D02760" w:rsidP="00D14E40">
      <w:pPr>
        <w:jc w:val="center"/>
      </w:pPr>
      <w:r w:rsidRPr="00360F4E">
        <w:t>Opinion</w:t>
      </w:r>
    </w:p>
    <w:p w:rsidR="002D41F7" w:rsidRPr="00360F4E" w:rsidRDefault="002F3E6C" w:rsidP="00A7144A">
      <w:pPr>
        <w:spacing w:line="480" w:lineRule="auto"/>
        <w:ind w:firstLine="720"/>
        <w:contextualSpacing/>
      </w:pPr>
      <w:r w:rsidRPr="00360F4E">
        <w:t xml:space="preserve">All countries may not have adopted the same </w:t>
      </w:r>
      <w:r w:rsidR="00B017E4" w:rsidRPr="00360F4E">
        <w:t>(Good Manufacturing Practice)</w:t>
      </w:r>
      <w:r w:rsidR="00840255" w:rsidRPr="00360F4E">
        <w:t xml:space="preserve"> </w:t>
      </w:r>
      <w:r w:rsidRPr="00360F4E">
        <w:t>GMPs</w:t>
      </w:r>
      <w:r w:rsidR="00D86A06" w:rsidRPr="00360F4E">
        <w:t xml:space="preserve"> because of the variations in the manufacturing standards in the different countries. Since countries do not have similar manufacturing capabilities, they may have different standards that guide about the manufacturing practices. Additionally, </w:t>
      </w:r>
      <w:r w:rsidR="0033592E" w:rsidRPr="00360F4E">
        <w:t xml:space="preserve">the observation that the standards require officers to move around the manufacturing processes and inspect every phase in some countries, while other countries do not have to have officers inspecting every manufacturing phase, can also be another indication of the variations in the implementation of the GMP standards. </w:t>
      </w:r>
    </w:p>
    <w:p w:rsidR="00EE0951" w:rsidRPr="00360F4E" w:rsidRDefault="005D1D05" w:rsidP="00A7144A">
      <w:pPr>
        <w:spacing w:line="480" w:lineRule="auto"/>
        <w:ind w:firstLine="720"/>
        <w:contextualSpacing/>
      </w:pPr>
      <w:r w:rsidRPr="00360F4E">
        <w:t xml:space="preserve">The </w:t>
      </w:r>
      <w:r w:rsidR="00D3463E" w:rsidRPr="00360F4E">
        <w:t xml:space="preserve">European Union </w:t>
      </w:r>
      <w:r w:rsidR="00017BBC" w:rsidRPr="00360F4E">
        <w:t xml:space="preserve">(EU) </w:t>
      </w:r>
      <w:r w:rsidR="00D3463E" w:rsidRPr="00360F4E">
        <w:t xml:space="preserve">and the </w:t>
      </w:r>
      <w:r w:rsidR="00D06B20" w:rsidRPr="00360F4E">
        <w:t>U.S. are two regions which can be used to show</w:t>
      </w:r>
      <w:r w:rsidR="00B21B80" w:rsidRPr="00360F4E">
        <w:t xml:space="preserve"> the different ways countrie</w:t>
      </w:r>
      <w:r w:rsidR="00017BBC" w:rsidRPr="00360F4E">
        <w:t>s achieve standards</w:t>
      </w:r>
      <w:r w:rsidR="00CE4095" w:rsidRPr="00360F4E">
        <w:t xml:space="preserve"> (U.S. Food and Drug Administration)</w:t>
      </w:r>
      <w:r w:rsidR="00017BBC" w:rsidRPr="00360F4E">
        <w:t>. In the</w:t>
      </w:r>
      <w:r w:rsidR="009C4F2A" w:rsidRPr="00360F4E">
        <w:t xml:space="preserve"> </w:t>
      </w:r>
      <w:r w:rsidR="00A051B6" w:rsidRPr="00360F4E">
        <w:t xml:space="preserve">EU, </w:t>
      </w:r>
      <w:r w:rsidR="00F4149B" w:rsidRPr="00360F4E">
        <w:t xml:space="preserve">it is </w:t>
      </w:r>
      <w:r w:rsidR="00034CFF" w:rsidRPr="00360F4E">
        <w:t xml:space="preserve">mandatory to conduct </w:t>
      </w:r>
      <w:r w:rsidR="00F4149B" w:rsidRPr="00360F4E">
        <w:t>internal quality audits</w:t>
      </w:r>
      <w:r w:rsidR="006946E4" w:rsidRPr="00360F4E">
        <w:t xml:space="preserve">, but </w:t>
      </w:r>
      <w:r w:rsidR="00B006C6" w:rsidRPr="00360F4E">
        <w:t>such is not</w:t>
      </w:r>
      <w:r w:rsidR="00D70350" w:rsidRPr="00360F4E">
        <w:t xml:space="preserve"> necessary written </w:t>
      </w:r>
      <w:r w:rsidR="00B006C6" w:rsidRPr="00360F4E">
        <w:t xml:space="preserve">in the U.S. CGMPs. </w:t>
      </w:r>
      <w:r w:rsidR="008E3E52" w:rsidRPr="00360F4E">
        <w:t xml:space="preserve">However, it does not mean that the internal quality audits are not important in the U.S. On the contrary, the statement means that the carrying out of internal quality audits is an unwritten </w:t>
      </w:r>
      <w:r w:rsidR="00C740D5" w:rsidRPr="00360F4E">
        <w:t xml:space="preserve">anticipation of a </w:t>
      </w:r>
      <w:r w:rsidR="00BD2056" w:rsidRPr="00360F4E">
        <w:t xml:space="preserve">quality unit that is well functioning. </w:t>
      </w:r>
    </w:p>
    <w:p w:rsidR="006F2E7D" w:rsidRPr="00360F4E" w:rsidRDefault="00EE0951" w:rsidP="00F301A4">
      <w:pPr>
        <w:spacing w:line="480" w:lineRule="auto"/>
        <w:ind w:firstLine="720"/>
        <w:contextualSpacing/>
      </w:pPr>
      <w:r w:rsidRPr="00360F4E">
        <w:t>Another variation i</w:t>
      </w:r>
      <w:r w:rsidR="00ED5D3A" w:rsidRPr="00360F4E">
        <w:t xml:space="preserve">nvolves the validation of systems and processes. For example, in Europe, systems and processes deemed as critical are validated. </w:t>
      </w:r>
      <w:r w:rsidR="002409F0" w:rsidRPr="00360F4E">
        <w:t xml:space="preserve">In the U.S., </w:t>
      </w:r>
      <w:r w:rsidR="00464217" w:rsidRPr="00360F4E">
        <w:t xml:space="preserve">the FDA </w:t>
      </w:r>
      <w:r w:rsidR="008508CA" w:rsidRPr="00360F4E">
        <w:t>demand</w:t>
      </w:r>
      <w:r w:rsidR="00464217" w:rsidRPr="00360F4E">
        <w:t xml:space="preserve">s validation for </w:t>
      </w:r>
      <w:r w:rsidR="000A4A15" w:rsidRPr="00360F4E">
        <w:t>practically</w:t>
      </w:r>
      <w:r w:rsidR="00464217" w:rsidRPr="00360F4E">
        <w:t xml:space="preserve"> everything associated with the production of drug products. </w:t>
      </w:r>
      <w:r w:rsidR="001A5F75" w:rsidRPr="00360F4E">
        <w:t>One of the major differences between the U.S., and the EU is that i</w:t>
      </w:r>
      <w:r w:rsidR="000368C9" w:rsidRPr="00360F4E">
        <w:t xml:space="preserve">n the U.S., it can be observed that </w:t>
      </w:r>
      <w:r w:rsidR="00CB0D2F" w:rsidRPr="00360F4E">
        <w:t xml:space="preserve">the </w:t>
      </w:r>
      <w:r w:rsidR="00105741" w:rsidRPr="00360F4E">
        <w:t>lawful</w:t>
      </w:r>
      <w:r w:rsidR="00CB0D2F" w:rsidRPr="00360F4E">
        <w:t xml:space="preserve"> binding force rests with the Federal Regulations</w:t>
      </w:r>
      <w:r w:rsidR="00105741" w:rsidRPr="00360F4E">
        <w:t xml:space="preserve"> (McGee Pharma International)</w:t>
      </w:r>
      <w:r w:rsidR="00CB0D2F" w:rsidRPr="00360F4E">
        <w:t xml:space="preserve">. In the EU, however, </w:t>
      </w:r>
      <w:r w:rsidR="007E6362" w:rsidRPr="00360F4E">
        <w:t xml:space="preserve">the </w:t>
      </w:r>
      <w:r w:rsidR="00105741" w:rsidRPr="00360F4E">
        <w:t>official</w:t>
      </w:r>
      <w:r w:rsidR="007E6362" w:rsidRPr="00360F4E">
        <w:t xml:space="preserve"> binding force rests with individual Member State</w:t>
      </w:r>
      <w:r w:rsidR="00105741" w:rsidRPr="00360F4E">
        <w:t xml:space="preserve"> (McGee Pharma International)</w:t>
      </w:r>
      <w:r w:rsidR="007E6362" w:rsidRPr="00360F4E">
        <w:t>.</w:t>
      </w:r>
      <w:r w:rsidR="008E3E52" w:rsidRPr="00360F4E">
        <w:t xml:space="preserve"> </w:t>
      </w:r>
      <w:r w:rsidR="00A62448" w:rsidRPr="00360F4E">
        <w:t xml:space="preserve">      </w:t>
      </w:r>
    </w:p>
    <w:p w:rsidR="00D14E40" w:rsidRPr="00360F4E" w:rsidRDefault="006F2E7D" w:rsidP="006F2E7D">
      <w:pPr>
        <w:spacing w:line="480" w:lineRule="auto"/>
        <w:ind w:firstLine="720"/>
        <w:contextualSpacing/>
        <w:jc w:val="center"/>
      </w:pPr>
      <w:r w:rsidRPr="00360F4E">
        <w:lastRenderedPageBreak/>
        <w:t>Works Cited</w:t>
      </w:r>
    </w:p>
    <w:p w:rsidR="006F2E7D" w:rsidRPr="00360F4E" w:rsidRDefault="00251395" w:rsidP="00346DDE">
      <w:pPr>
        <w:spacing w:line="480" w:lineRule="auto"/>
        <w:ind w:left="720" w:hanging="720"/>
        <w:contextualSpacing/>
      </w:pPr>
      <w:r w:rsidRPr="00360F4E">
        <w:t xml:space="preserve">McGee Pharma International. </w:t>
      </w:r>
      <w:r w:rsidR="00420EDB" w:rsidRPr="00360F4E">
        <w:rPr>
          <w:i/>
        </w:rPr>
        <w:t>EU and US GMP/: Similarities and differences</w:t>
      </w:r>
      <w:r w:rsidR="00420EDB" w:rsidRPr="00360F4E">
        <w:t xml:space="preserve">. </w:t>
      </w:r>
      <w:r w:rsidR="008E3061" w:rsidRPr="00360F4E">
        <w:t xml:space="preserve">McGee Pharma International, Nov. 2016, </w:t>
      </w:r>
      <w:hyperlink r:id="rId6" w:history="1">
        <w:r w:rsidR="001A2D10" w:rsidRPr="00360F4E">
          <w:rPr>
            <w:rStyle w:val="Hyperlink"/>
            <w:color w:val="auto"/>
          </w:rPr>
          <w:t>https://www.pda.org/docs/default-source/website-document-library/chapters/presentations/new-england/eu-and-us-gmp-gdp-similarities-and-differences.pdf?sfvrsn=8</w:t>
        </w:r>
      </w:hyperlink>
      <w:r w:rsidR="005C4E5A" w:rsidRPr="00360F4E">
        <w:t>.</w:t>
      </w:r>
      <w:r w:rsidR="001A2D10" w:rsidRPr="00360F4E">
        <w:t xml:space="preserve"> </w:t>
      </w:r>
      <w:r w:rsidR="005C4E5A" w:rsidRPr="00360F4E">
        <w:t>Accessed</w:t>
      </w:r>
      <w:r w:rsidR="001A2D10" w:rsidRPr="00360F4E">
        <w:t xml:space="preserve"> 7 July 2018.</w:t>
      </w:r>
    </w:p>
    <w:p w:rsidR="001A2D10" w:rsidRPr="00360F4E" w:rsidRDefault="00B32A9E" w:rsidP="00346DDE">
      <w:pPr>
        <w:spacing w:line="480" w:lineRule="auto"/>
        <w:ind w:left="720" w:hanging="720"/>
        <w:contextualSpacing/>
      </w:pPr>
      <w:r w:rsidRPr="00360F4E">
        <w:t xml:space="preserve">U.S. Food and Drug Administration. </w:t>
      </w:r>
      <w:r w:rsidR="002A01BC" w:rsidRPr="00360F4E">
        <w:rPr>
          <w:i/>
        </w:rPr>
        <w:t>Mutual recognition promises new framework for pharmaceutical inspections for United States and European Union</w:t>
      </w:r>
      <w:r w:rsidR="002A01BC" w:rsidRPr="00360F4E">
        <w:t xml:space="preserve">. FDA, 28 March 2018, </w:t>
      </w:r>
      <w:hyperlink r:id="rId7" w:history="1">
        <w:r w:rsidR="006B7556" w:rsidRPr="00360F4E">
          <w:rPr>
            <w:rStyle w:val="Hyperlink"/>
            <w:color w:val="auto"/>
          </w:rPr>
          <w:t>https://www.fda.gov/NewsEvents/Newsroom/PressAnnouncements/ucm544357.htm</w:t>
        </w:r>
      </w:hyperlink>
      <w:r w:rsidR="005C4E5A" w:rsidRPr="00360F4E">
        <w:t>.</w:t>
      </w:r>
      <w:r w:rsidR="006B7556" w:rsidRPr="00360F4E">
        <w:t xml:space="preserve"> </w:t>
      </w:r>
      <w:r w:rsidR="005C4E5A" w:rsidRPr="00360F4E">
        <w:t>Accessed</w:t>
      </w:r>
      <w:r w:rsidR="006B7556" w:rsidRPr="00360F4E">
        <w:t xml:space="preserve"> 7 July 2018.</w:t>
      </w:r>
    </w:p>
    <w:p w:rsidR="006B7556" w:rsidRPr="00360F4E" w:rsidRDefault="006B7556" w:rsidP="00346DDE">
      <w:pPr>
        <w:spacing w:line="480" w:lineRule="auto"/>
        <w:ind w:left="720" w:hanging="720"/>
        <w:contextualSpacing/>
      </w:pPr>
    </w:p>
    <w:p w:rsidR="001A2D10" w:rsidRPr="00360F4E" w:rsidRDefault="001A2D10" w:rsidP="00346DDE">
      <w:pPr>
        <w:spacing w:line="480" w:lineRule="auto"/>
        <w:ind w:left="720" w:hanging="720"/>
        <w:contextualSpacing/>
      </w:pPr>
    </w:p>
    <w:p w:rsidR="001A2D10" w:rsidRPr="00360F4E" w:rsidRDefault="001A2D10" w:rsidP="00346DDE">
      <w:pPr>
        <w:spacing w:line="480" w:lineRule="auto"/>
        <w:ind w:left="720" w:hanging="720"/>
        <w:contextualSpacing/>
      </w:pPr>
    </w:p>
    <w:sectPr w:rsidR="001A2D10" w:rsidRPr="00360F4E" w:rsidSect="0088072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2EB" w:rsidRDefault="00D732EB" w:rsidP="00EB00F4">
      <w:pPr>
        <w:spacing w:after="0" w:line="240" w:lineRule="auto"/>
      </w:pPr>
      <w:r>
        <w:separator/>
      </w:r>
    </w:p>
  </w:endnote>
  <w:endnote w:type="continuationSeparator" w:id="1">
    <w:p w:rsidR="00D732EB" w:rsidRDefault="00D732EB" w:rsidP="00EB00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2EB" w:rsidRDefault="00D732EB" w:rsidP="00EB00F4">
      <w:pPr>
        <w:spacing w:after="0" w:line="240" w:lineRule="auto"/>
      </w:pPr>
      <w:r>
        <w:separator/>
      </w:r>
    </w:p>
  </w:footnote>
  <w:footnote w:type="continuationSeparator" w:id="1">
    <w:p w:rsidR="00D732EB" w:rsidRDefault="00D732EB" w:rsidP="00EB00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159359"/>
      <w:docPartObj>
        <w:docPartGallery w:val="Page Numbers (Top of Page)"/>
        <w:docPartUnique/>
      </w:docPartObj>
    </w:sdtPr>
    <w:sdtContent>
      <w:p w:rsidR="00763D42" w:rsidRDefault="00763D42" w:rsidP="00EB00F4">
        <w:pPr>
          <w:pStyle w:val="Header"/>
          <w:jc w:val="center"/>
        </w:pPr>
        <w:r>
          <w:t xml:space="preserve">                                                               Surname                  </w:t>
        </w:r>
        <w:fldSimple w:instr=" PAGE   \* MERGEFORMAT ">
          <w:r w:rsidR="002447F3">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2760"/>
    <w:rsid w:val="00017BBC"/>
    <w:rsid w:val="00034CFF"/>
    <w:rsid w:val="000368C9"/>
    <w:rsid w:val="000A4A15"/>
    <w:rsid w:val="00105741"/>
    <w:rsid w:val="001545D9"/>
    <w:rsid w:val="001A2D10"/>
    <w:rsid w:val="001A5E91"/>
    <w:rsid w:val="001A5F75"/>
    <w:rsid w:val="00212CE8"/>
    <w:rsid w:val="002409F0"/>
    <w:rsid w:val="002447F3"/>
    <w:rsid w:val="00251395"/>
    <w:rsid w:val="002A01BC"/>
    <w:rsid w:val="002A58F0"/>
    <w:rsid w:val="002D41F7"/>
    <w:rsid w:val="002F3E6C"/>
    <w:rsid w:val="0033592E"/>
    <w:rsid w:val="00346DDE"/>
    <w:rsid w:val="00360F4E"/>
    <w:rsid w:val="003F22EF"/>
    <w:rsid w:val="00420EDB"/>
    <w:rsid w:val="00464217"/>
    <w:rsid w:val="005A230C"/>
    <w:rsid w:val="005C4E5A"/>
    <w:rsid w:val="005D1D05"/>
    <w:rsid w:val="0065561A"/>
    <w:rsid w:val="006946E4"/>
    <w:rsid w:val="006B7556"/>
    <w:rsid w:val="006F2E7D"/>
    <w:rsid w:val="00763D42"/>
    <w:rsid w:val="007E6362"/>
    <w:rsid w:val="00840255"/>
    <w:rsid w:val="008508CA"/>
    <w:rsid w:val="0088072B"/>
    <w:rsid w:val="008A719A"/>
    <w:rsid w:val="008C153D"/>
    <w:rsid w:val="008E3061"/>
    <w:rsid w:val="008E3E52"/>
    <w:rsid w:val="009B01E5"/>
    <w:rsid w:val="009C4F2A"/>
    <w:rsid w:val="00A051B6"/>
    <w:rsid w:val="00A62448"/>
    <w:rsid w:val="00A7144A"/>
    <w:rsid w:val="00B006C6"/>
    <w:rsid w:val="00B017E4"/>
    <w:rsid w:val="00B21B80"/>
    <w:rsid w:val="00B32A9E"/>
    <w:rsid w:val="00BD2056"/>
    <w:rsid w:val="00BE2B1D"/>
    <w:rsid w:val="00C740D5"/>
    <w:rsid w:val="00CB0D2F"/>
    <w:rsid w:val="00CE4095"/>
    <w:rsid w:val="00D02760"/>
    <w:rsid w:val="00D06B20"/>
    <w:rsid w:val="00D14E40"/>
    <w:rsid w:val="00D3463E"/>
    <w:rsid w:val="00D41C3B"/>
    <w:rsid w:val="00D70350"/>
    <w:rsid w:val="00D732EB"/>
    <w:rsid w:val="00D86A06"/>
    <w:rsid w:val="00DC02BF"/>
    <w:rsid w:val="00EB00F4"/>
    <w:rsid w:val="00EB1CC9"/>
    <w:rsid w:val="00ED5D3A"/>
    <w:rsid w:val="00EE0951"/>
    <w:rsid w:val="00F301A4"/>
    <w:rsid w:val="00F4149B"/>
    <w:rsid w:val="00FD24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0F4"/>
  </w:style>
  <w:style w:type="paragraph" w:styleId="Footer">
    <w:name w:val="footer"/>
    <w:basedOn w:val="Normal"/>
    <w:link w:val="FooterChar"/>
    <w:uiPriority w:val="99"/>
    <w:semiHidden/>
    <w:unhideWhenUsed/>
    <w:rsid w:val="00EB00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00F4"/>
  </w:style>
  <w:style w:type="character" w:styleId="Hyperlink">
    <w:name w:val="Hyperlink"/>
    <w:basedOn w:val="DefaultParagraphFont"/>
    <w:uiPriority w:val="99"/>
    <w:unhideWhenUsed/>
    <w:rsid w:val="001A2D1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6391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fda.gov/NewsEvents/Newsroom/PressAnnouncements/ucm54435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da.org/docs/default-source/website-document-library/chapters/presentations/new-england/eu-and-us-gmp-gdp-similarities-and-differences.pdf?sfvrsn=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61</cp:revision>
  <dcterms:created xsi:type="dcterms:W3CDTF">2018-07-07T17:09:00Z</dcterms:created>
  <dcterms:modified xsi:type="dcterms:W3CDTF">2018-07-07T20:23:00Z</dcterms:modified>
</cp:coreProperties>
</file>