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CF" w:rsidRPr="00A01D26" w:rsidRDefault="00216BCF"/>
    <w:p w:rsidR="00216BCF" w:rsidRPr="00A01D26" w:rsidRDefault="00216BCF"/>
    <w:p w:rsidR="00216BCF" w:rsidRPr="00A01D26" w:rsidRDefault="00216BCF"/>
    <w:p w:rsidR="001A1573" w:rsidRPr="00A01D26" w:rsidRDefault="00C610FF" w:rsidP="00216BCF">
      <w:pPr>
        <w:jc w:val="center"/>
      </w:pPr>
      <w:r w:rsidRPr="00A01D26">
        <w:t>Alzheimer’s Dementia</w:t>
      </w:r>
    </w:p>
    <w:p w:rsidR="00216BCF" w:rsidRPr="00A01D26" w:rsidRDefault="00216BCF" w:rsidP="00216BCF">
      <w:pPr>
        <w:jc w:val="center"/>
      </w:pPr>
      <w:r w:rsidRPr="00A01D26">
        <w:t>Student’s Name</w:t>
      </w:r>
    </w:p>
    <w:p w:rsidR="00216BCF" w:rsidRPr="00A01D26" w:rsidRDefault="00216BCF" w:rsidP="00216BCF">
      <w:pPr>
        <w:jc w:val="center"/>
      </w:pPr>
    </w:p>
    <w:p w:rsidR="00216BCF" w:rsidRPr="00A01D26" w:rsidRDefault="00216BCF" w:rsidP="00216BCF">
      <w:pPr>
        <w:jc w:val="center"/>
      </w:pPr>
    </w:p>
    <w:p w:rsidR="00216BCF" w:rsidRPr="00A01D26" w:rsidRDefault="00216BCF" w:rsidP="00216BCF">
      <w:pPr>
        <w:jc w:val="center"/>
      </w:pPr>
      <w:r w:rsidRPr="00A01D26">
        <w:t>Professor</w:t>
      </w:r>
    </w:p>
    <w:p w:rsidR="00216BCF" w:rsidRPr="00A01D26" w:rsidRDefault="00216BCF" w:rsidP="00216BCF">
      <w:pPr>
        <w:jc w:val="center"/>
      </w:pPr>
      <w:r w:rsidRPr="00A01D26">
        <w:t>Course</w:t>
      </w:r>
    </w:p>
    <w:p w:rsidR="00216BCF" w:rsidRPr="00A01D26" w:rsidRDefault="00216BCF" w:rsidP="00216BCF">
      <w:pPr>
        <w:jc w:val="center"/>
      </w:pPr>
    </w:p>
    <w:p w:rsidR="00216BCF" w:rsidRPr="00A01D26" w:rsidRDefault="00216BCF" w:rsidP="00216BCF">
      <w:pPr>
        <w:jc w:val="center"/>
      </w:pPr>
    </w:p>
    <w:p w:rsidR="00216BCF" w:rsidRPr="00A01D26" w:rsidRDefault="00216BCF" w:rsidP="00216BCF">
      <w:pPr>
        <w:jc w:val="center"/>
      </w:pPr>
      <w:r w:rsidRPr="00A01D26">
        <w:t>Institution</w:t>
      </w:r>
    </w:p>
    <w:p w:rsidR="00216BCF" w:rsidRPr="00A01D26" w:rsidRDefault="00216BCF" w:rsidP="00216BCF">
      <w:pPr>
        <w:jc w:val="center"/>
      </w:pPr>
      <w:r w:rsidRPr="00A01D26">
        <w:t>Course</w:t>
      </w:r>
    </w:p>
    <w:p w:rsidR="00216BCF" w:rsidRPr="00A01D26" w:rsidRDefault="00216BCF" w:rsidP="00216BCF">
      <w:pPr>
        <w:jc w:val="center"/>
      </w:pPr>
      <w:r w:rsidRPr="00A01D26">
        <w:t>Date</w:t>
      </w:r>
    </w:p>
    <w:p w:rsidR="00216BCF" w:rsidRPr="00A01D26" w:rsidRDefault="00216BCF" w:rsidP="00216BCF">
      <w:pPr>
        <w:jc w:val="center"/>
      </w:pPr>
    </w:p>
    <w:p w:rsidR="00216BCF" w:rsidRPr="00A01D26" w:rsidRDefault="00216BCF" w:rsidP="00216BCF">
      <w:pPr>
        <w:jc w:val="center"/>
      </w:pPr>
    </w:p>
    <w:p w:rsidR="00216BCF" w:rsidRDefault="00216BCF" w:rsidP="00216BCF">
      <w:pPr>
        <w:jc w:val="center"/>
      </w:pPr>
    </w:p>
    <w:p w:rsidR="00D43803" w:rsidRDefault="00D43803" w:rsidP="00D43803">
      <w:r>
        <w:lastRenderedPageBreak/>
        <w:t>a)    The physiological mechanism of Bexarotene</w:t>
      </w:r>
    </w:p>
    <w:p w:rsidR="00D43803" w:rsidRDefault="00D43803" w:rsidP="00D43803">
      <w:r>
        <w:t xml:space="preserve">Alzheimer’s disease is associated with the incapability to eliminate beta-amyloid plaques that build up around brain cells. Previous research had revealed that the protein Apolipoprotein E (ApoE), which is the major cholesterol carrier in the brain, also assists to eliminate amyloid beta (Paddock, 2012). Bexarotene plays an imperative role of stimulating receptors that assist in the management of ApoE production, the retinoid X receptors (RXR). Six hours after the administration of bexarotene, there was a 25 percent decrease in soluble amyloid levels, and these changes could last for three days (Paddock, 2012). After these days, the reduction level surpassed the 50 percent levels in amyloid beta plaques. The administration of bexarotene eventually led to more than 75 percent reduction in soluble amyloid levels (Paddock, 2012). Eventually, in addition to the adjustments in amyloid levels, there were also positive enhancements in social, cognitive, and olfactory discrepancies in the three varying mouse model types of Alzheimer’s disease. </w:t>
      </w:r>
    </w:p>
    <w:p w:rsidR="00D43803" w:rsidRDefault="00D43803" w:rsidP="00D43803">
      <w:r>
        <w:t xml:space="preserve">In normal brains, the brain produces appropriate β-amyloid to meet its responsibility and these levels are managed by controlling the produced amount and eliminating it as appropriate (Martins-Mourao, Leys, Rostron, and Heading, 2011). In persons with Alzheimer’s disease, there is an excess production or excess elimination of β-amyloid. Therefore, the standard drugs are supposed to either reduce or maintain the β-amyloid at the required levels. However, there are challenges in getting the most appropriate drug because of their varying characteristics. These drugs vary in terms of bioavailability and plasma half-life and also in the side effects. For example, donepezil has an elevated plasma half-life and augmented bioavailability (Martins-Mourao, Leys, Rostron, and Heading, 2011). Galantamine has a diminished half-life, but an augmented bioavailability. Rivastigmine has a reduced half-life and a diminished bioavailability </w:t>
      </w:r>
      <w:r>
        <w:lastRenderedPageBreak/>
        <w:t xml:space="preserve">(Martins-Mourao, Leys, Rostron, and Heading, 2011). These variations mean that the drugs cannot be administered the same way to AD patients, and this is a challenge because it demands that the health professionals need to understand the extent of AD that corresponds with which drug. Furthermore, bexarotene can also cause cardiovascular risks, which can further complicate the health of the person with Alzheimer’s disease.  </w:t>
      </w:r>
    </w:p>
    <w:p w:rsidR="00287AA4" w:rsidRDefault="00D43803" w:rsidP="00D43803">
      <w:r>
        <w:t xml:space="preserve">b) </w:t>
      </w:r>
      <w:r w:rsidR="00287AA4">
        <w:t xml:space="preserve"> Effectiveness of standard drugs </w:t>
      </w:r>
    </w:p>
    <w:p w:rsidR="00D43803" w:rsidRDefault="00D43803" w:rsidP="00D43803">
      <w:r>
        <w:t>The standard drugs applied in the management of AD cannot be termed as ine</w:t>
      </w:r>
      <w:r w:rsidR="00A45121">
        <w:t>ffective because of the complex</w:t>
      </w:r>
      <w:r>
        <w:t xml:space="preserve"> nature of Alzheimer dementia. These drugs have different characteristics in terms of bioavailability and plasma half-life. For example, the plasma half-life for Donepezil is long and its bioavailability high. Thus, Donepezil’s administration is once each day (Martins-Mourao, Leys, Rostron, and Heading, 2011). The bioavailability of Galantamine is high, but its half-life is short compared to Donepezil (Martins-Mourao, Leys, Rostron, and Heading, 2011). However, Galantamine contains a slow-release formulation, which also makes it appropriate to be administered once daily. Rivastigmine, another drug used in the management of AD, has an extremely short half-life and a low bioavailability. This characteristic makes Rivastigmine appropriate to be administered twice daily, unlike Donepezil and Galantamine, whose dosages are administered once daily (Martins-Mourao, Leys, Rostron, and Heading, 2011). Therefore, these variations in characteristics can make it challenging especially when determining which dosage of the drug corresponds with what client. However, these challenges cannot be deduced to mean that the drugs are ineffective. </w:t>
      </w:r>
    </w:p>
    <w:p w:rsidR="00D43803" w:rsidRDefault="00D43803" w:rsidP="00D43803">
      <w:r>
        <w:t xml:space="preserve">Additionally, Mary is not justified to state that the standard drugs are not effective based on the complexity of using a drug that targets a brain’s specific region. Since AD affects the brain, </w:t>
      </w:r>
      <w:r>
        <w:lastRenderedPageBreak/>
        <w:t xml:space="preserve">Martins-Mourao, Leys, Rostron, and Heading (2011) assert that it is challenging to have drugs that target the specific part and therefore, there is no justification to conclude that the standard drugs are ineffective. </w:t>
      </w:r>
    </w:p>
    <w:p w:rsidR="00D43803" w:rsidRDefault="00D43803" w:rsidP="00D43803">
      <w:r>
        <w:t xml:space="preserve">c) A brief response to Mary </w:t>
      </w:r>
    </w:p>
    <w:p w:rsidR="00D43803" w:rsidRDefault="00D43803" w:rsidP="00D43803">
      <w:r>
        <w:t xml:space="preserve">Dr. Landreth’s results cannot be translated into a publically available treatment for Alzheimer’s dementia because firstly, researchers do not agree on the effect of Bexarotene in the brain (Alzforum, 2016). If researchers do not appear to agree on how Bexarotene affects the brain, then the drug cannot be used publicly for the treatment of AD. Additionally, researchers are also not sure whether additional trials are necessary and this further complicates matters concerning the treatment of AD. Secondly, Alzforum (2016) avers that Bexarotene can cause cardiovascular risks, which means that its administration can further complicate health matters by causing heart problems in addition to the mental issues. </w:t>
      </w:r>
    </w:p>
    <w:p w:rsidR="00D43803" w:rsidRDefault="00D43803" w:rsidP="00D43803">
      <w:r>
        <w:t>Thirdly, the drug tends to benefit ApoE4 non-carriers only because of the compact nature of plaques in ApoE4 carriers and thus they are tougher to solubilize (Alzforum, 2016). Additionally, the lipidation of ApoE4 is harder than ApoE2 or ApoE3 (Alzforum, 2016). Therefore, it can be observed that the success of the drug is dependent on the client’s characteristic such as the absence of ApoE4. Thus, the drug cannot be used by all clients suffering from Alzheimer’s dementia because of their variations in the presence or absence of ApoE4 and the plaques involved. Those with ApoE4 non-carriers would benefit from the drug, whereas clients with ApoE4 carriers would not benefit. Therefore, the differences thus make it hard for the drugs cannot be made publicly available because they would not assist all people suffering from Alzheimer’s dementia.</w:t>
      </w:r>
    </w:p>
    <w:p w:rsidR="00D43803" w:rsidRDefault="00D43803" w:rsidP="00D43803">
      <w:r>
        <w:lastRenderedPageBreak/>
        <w:t>d) The 2016 report from Alzforum</w:t>
      </w:r>
    </w:p>
    <w:p w:rsidR="00D43803" w:rsidRDefault="00D43803" w:rsidP="00D43803">
      <w:r>
        <w:t xml:space="preserve">It can be argued that the findings in the study are only appropriate for mice and the effects seen in mice cannot be translatable to humans. Paddock (2012) avers that Landreth cautioned against trusting the drug to work in humans because it only worked extremely well in the disease’s mouse models. Landreth asserted that the next objective involved ascertaining whether the drug produced similar results in humans. In mouse models, Bexarotene activated the RXR receptors and stimulated physiological clearance methods leading to an expansive reversal of a broad range of Amyloid β-stimulated shortfalls (Alzforum, 2016). However, since these findings involved mouse models, the results cannot be translatable to humans without undertaking further tests. </w:t>
      </w:r>
    </w:p>
    <w:p w:rsidR="00D43803" w:rsidRDefault="00D43803" w:rsidP="00D43803">
      <w:r>
        <w:t xml:space="preserve">It is, however, worth noting that the administration of Bexarotene can have positive effects by improving memory. Additionally, Bexarotene also reduces phospho (rylated)-tau and Cerebrospinal fluid beta-amyloid 2 tau while also increasing Celebralspinal fluid beta-amyloid (Aβ) significantly (Alzforum, 2016). Thus, the administration of Bexarotene can be said to have some positive effects on humans. It is also worth noting that the gains can be lost if the administration of the drug is stopped leading to a decline in MMSE scores (Alzforum, 2016). Costs, for example, can be a factor with the potential of causing discontinuation of the drug leading to a decline in the MMSE scores, especially based on the understanding that the drug costs about €1,200 per month (Alzforum, 2016). However, regardless of factors such as cost, researchers are not certain whether the decline in MMSE scores is a placebo effect. This inability of the researchers to ascertain whether a placebo effect is involved in the decline of memory means that the effects of the drug on humans are not certain. Furthermore, Landreth’s assertion that further studies are required to ascertain whether the drug would have similar effects in </w:t>
      </w:r>
      <w:r>
        <w:lastRenderedPageBreak/>
        <w:t xml:space="preserve">humans means that the drug cannot be translatable to humans. Paddock (2012) avers that researchers are still in the early stages of the drug development before they translate the innovation into a treatment. Thus, the success of Bexarotene in mouse models cannot be translatable to humans yet. </w:t>
      </w:r>
    </w:p>
    <w:p w:rsidR="00D43803" w:rsidRDefault="00D43803" w:rsidP="00D43803"/>
    <w:p w:rsidR="00D43803" w:rsidRDefault="00D43803" w:rsidP="00D43803"/>
    <w:p w:rsidR="00D43803" w:rsidRDefault="00D43803" w:rsidP="00D43803"/>
    <w:p w:rsidR="00D43803" w:rsidRDefault="00D43803" w:rsidP="00D43803"/>
    <w:p w:rsidR="00D43803" w:rsidRDefault="00D43803" w:rsidP="00D43803"/>
    <w:p w:rsidR="00D43803" w:rsidRPr="00A01D26" w:rsidRDefault="00D43803" w:rsidP="00D43803"/>
    <w:p w:rsidR="00E75EB6" w:rsidRPr="00A01D26" w:rsidRDefault="00E75EB6" w:rsidP="00720FEC">
      <w:pPr>
        <w:jc w:val="center"/>
      </w:pPr>
    </w:p>
    <w:p w:rsidR="00E75EB6" w:rsidRPr="00A01D26" w:rsidRDefault="00E75EB6" w:rsidP="00720FEC">
      <w:pPr>
        <w:jc w:val="center"/>
      </w:pPr>
    </w:p>
    <w:p w:rsidR="00E75EB6" w:rsidRPr="00A01D26" w:rsidRDefault="00E75EB6" w:rsidP="00720FEC">
      <w:pPr>
        <w:jc w:val="center"/>
      </w:pPr>
    </w:p>
    <w:p w:rsidR="00E75EB6" w:rsidRPr="00A01D26" w:rsidRDefault="00E75EB6" w:rsidP="00720FEC">
      <w:pPr>
        <w:jc w:val="center"/>
      </w:pPr>
    </w:p>
    <w:p w:rsidR="00E75EB6" w:rsidRPr="00A01D26" w:rsidRDefault="00E75EB6" w:rsidP="00720FEC">
      <w:pPr>
        <w:jc w:val="center"/>
      </w:pPr>
    </w:p>
    <w:p w:rsidR="00E75EB6" w:rsidRPr="00A01D26" w:rsidRDefault="00E75EB6" w:rsidP="00720FEC">
      <w:pPr>
        <w:jc w:val="center"/>
      </w:pPr>
    </w:p>
    <w:p w:rsidR="00E75EB6" w:rsidRPr="00A01D26" w:rsidRDefault="00E75EB6" w:rsidP="00720FEC">
      <w:pPr>
        <w:jc w:val="center"/>
      </w:pPr>
    </w:p>
    <w:p w:rsidR="0050022C" w:rsidRPr="00A01D26" w:rsidRDefault="0050022C" w:rsidP="00631C5C"/>
    <w:p w:rsidR="00667DE4" w:rsidRPr="00A01D26" w:rsidRDefault="00720FEC" w:rsidP="00667DE4">
      <w:pPr>
        <w:jc w:val="center"/>
      </w:pPr>
      <w:r w:rsidRPr="00A01D26">
        <w:lastRenderedPageBreak/>
        <w:t>References</w:t>
      </w:r>
    </w:p>
    <w:p w:rsidR="00667DE4" w:rsidRPr="00A01D26" w:rsidRDefault="00667DE4" w:rsidP="00121CFD">
      <w:pPr>
        <w:contextualSpacing/>
      </w:pPr>
      <w:r w:rsidRPr="00A01D26">
        <w:t xml:space="preserve">Alzforum. (2016) </w:t>
      </w:r>
      <w:r w:rsidRPr="00A01D26">
        <w:rPr>
          <w:i/>
        </w:rPr>
        <w:t>Bexarotene-First clinical results highlight contradictions</w:t>
      </w:r>
      <w:r w:rsidRPr="00A01D26">
        <w:t xml:space="preserve"> [Online]. Available at </w:t>
      </w:r>
      <w:hyperlink r:id="rId7" w:history="1">
        <w:r w:rsidRPr="00A01D26">
          <w:rPr>
            <w:rStyle w:val="Hyperlink"/>
            <w:color w:val="auto"/>
          </w:rPr>
          <w:t>https://www.alzforum.org/news/research-news/bexarotene-first-clinical-results-highlight-contradictions</w:t>
        </w:r>
      </w:hyperlink>
      <w:r w:rsidRPr="00A01D26">
        <w:t xml:space="preserve"> (Accessed 15th May 2018).</w:t>
      </w:r>
    </w:p>
    <w:p w:rsidR="00667DE4" w:rsidRPr="00A01D26" w:rsidRDefault="00667DE4" w:rsidP="00121CFD">
      <w:pPr>
        <w:contextualSpacing/>
      </w:pPr>
      <w:r w:rsidRPr="00A01D26">
        <w:t xml:space="preserve">Martins-Mourao, A., Leys, K., Rostron, C., and Heading, C. (2011) </w:t>
      </w:r>
      <w:r w:rsidRPr="00A01D26">
        <w:rPr>
          <w:i/>
        </w:rPr>
        <w:t>Dementias (SDK228 The science of the mind: investigating mental health)</w:t>
      </w:r>
      <w:r w:rsidRPr="00A01D26">
        <w:t xml:space="preserve">, Milton Keynes, The Open University. </w:t>
      </w:r>
    </w:p>
    <w:p w:rsidR="00667DE4" w:rsidRPr="00A01D26" w:rsidRDefault="00667DE4" w:rsidP="00121CFD">
      <w:pPr>
        <w:contextualSpacing/>
      </w:pPr>
      <w:r w:rsidRPr="00A01D26">
        <w:t xml:space="preserve">Paddock, C. (2012) </w:t>
      </w:r>
      <w:r w:rsidRPr="00A01D26">
        <w:rPr>
          <w:i/>
        </w:rPr>
        <w:t>Cancer drug reverses symptoms of Alzheimer’s in mice</w:t>
      </w:r>
      <w:r w:rsidRPr="00A01D26">
        <w:t xml:space="preserve"> [Online]. Available at </w:t>
      </w:r>
      <w:hyperlink r:id="rId8" w:history="1">
        <w:r w:rsidRPr="00A01D26">
          <w:rPr>
            <w:rStyle w:val="Hyperlink"/>
            <w:color w:val="auto"/>
          </w:rPr>
          <w:t>https://www.medicalnewstoday.com/articles/241444.php</w:t>
        </w:r>
      </w:hyperlink>
      <w:r w:rsidRPr="00A01D26">
        <w:t xml:space="preserve"> (Accessed 15th May 2018).</w:t>
      </w:r>
    </w:p>
    <w:sectPr w:rsidR="00667DE4" w:rsidRPr="00A01D26" w:rsidSect="00C93C5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23" w:rsidRDefault="006B2523" w:rsidP="00C93C54">
      <w:pPr>
        <w:spacing w:after="0" w:line="240" w:lineRule="auto"/>
      </w:pPr>
      <w:r>
        <w:separator/>
      </w:r>
    </w:p>
  </w:endnote>
  <w:endnote w:type="continuationSeparator" w:id="1">
    <w:p w:rsidR="006B2523" w:rsidRDefault="006B2523" w:rsidP="00C93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23" w:rsidRDefault="006B2523" w:rsidP="00C93C54">
      <w:pPr>
        <w:spacing w:after="0" w:line="240" w:lineRule="auto"/>
      </w:pPr>
      <w:r>
        <w:separator/>
      </w:r>
    </w:p>
  </w:footnote>
  <w:footnote w:type="continuationSeparator" w:id="1">
    <w:p w:rsidR="006B2523" w:rsidRDefault="006B2523" w:rsidP="00C93C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85218"/>
      <w:docPartObj>
        <w:docPartGallery w:val="Page Numbers (Top of Page)"/>
        <w:docPartUnique/>
      </w:docPartObj>
    </w:sdtPr>
    <w:sdtContent>
      <w:p w:rsidR="00C93C54" w:rsidRDefault="00C93C54" w:rsidP="00C93C54">
        <w:pPr>
          <w:pStyle w:val="Header"/>
        </w:pPr>
        <w:r>
          <w:t xml:space="preserve">Alzheimer’s Dementia                                                                                                </w:t>
        </w:r>
        <w:fldSimple w:instr=" PAGE   \* MERGEFORMAT ">
          <w:r w:rsidR="00A01016">
            <w:rPr>
              <w:noProof/>
            </w:rPr>
            <w:t>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C54" w:rsidRDefault="00C93C54">
    <w:pPr>
      <w:pStyle w:val="Header"/>
    </w:pPr>
    <w:r>
      <w:t>Running head: Alzheimer’s Dementia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BCB"/>
    <w:multiLevelType w:val="hybridMultilevel"/>
    <w:tmpl w:val="EF90F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610FF"/>
    <w:rsid w:val="00006270"/>
    <w:rsid w:val="00011817"/>
    <w:rsid w:val="000144EB"/>
    <w:rsid w:val="00024ECF"/>
    <w:rsid w:val="0006528D"/>
    <w:rsid w:val="000677F6"/>
    <w:rsid w:val="00072319"/>
    <w:rsid w:val="000945BA"/>
    <w:rsid w:val="001025B4"/>
    <w:rsid w:val="00112A27"/>
    <w:rsid w:val="00117198"/>
    <w:rsid w:val="00121CFD"/>
    <w:rsid w:val="0013370B"/>
    <w:rsid w:val="00136AA9"/>
    <w:rsid w:val="00161547"/>
    <w:rsid w:val="00172255"/>
    <w:rsid w:val="0018078A"/>
    <w:rsid w:val="00182829"/>
    <w:rsid w:val="001A1573"/>
    <w:rsid w:val="001A4665"/>
    <w:rsid w:val="001E032B"/>
    <w:rsid w:val="001F178B"/>
    <w:rsid w:val="00216BCF"/>
    <w:rsid w:val="00224B3C"/>
    <w:rsid w:val="00227F3B"/>
    <w:rsid w:val="0023527C"/>
    <w:rsid w:val="002366ED"/>
    <w:rsid w:val="00244EC3"/>
    <w:rsid w:val="00247107"/>
    <w:rsid w:val="002753BF"/>
    <w:rsid w:val="00287AA4"/>
    <w:rsid w:val="002A78FF"/>
    <w:rsid w:val="002B7686"/>
    <w:rsid w:val="002D6378"/>
    <w:rsid w:val="002F067A"/>
    <w:rsid w:val="002F30ED"/>
    <w:rsid w:val="00301879"/>
    <w:rsid w:val="003057A2"/>
    <w:rsid w:val="00307124"/>
    <w:rsid w:val="00332E3E"/>
    <w:rsid w:val="003559C3"/>
    <w:rsid w:val="00357B12"/>
    <w:rsid w:val="00364875"/>
    <w:rsid w:val="0036588E"/>
    <w:rsid w:val="00374A3C"/>
    <w:rsid w:val="0037565C"/>
    <w:rsid w:val="00387714"/>
    <w:rsid w:val="00395D88"/>
    <w:rsid w:val="003975C2"/>
    <w:rsid w:val="003B6551"/>
    <w:rsid w:val="003C173E"/>
    <w:rsid w:val="003C39D2"/>
    <w:rsid w:val="003D53BF"/>
    <w:rsid w:val="003D7410"/>
    <w:rsid w:val="003E230C"/>
    <w:rsid w:val="003F0CE1"/>
    <w:rsid w:val="003F2231"/>
    <w:rsid w:val="0045065A"/>
    <w:rsid w:val="0045551E"/>
    <w:rsid w:val="0047126F"/>
    <w:rsid w:val="00471FAA"/>
    <w:rsid w:val="00497FA4"/>
    <w:rsid w:val="004A3577"/>
    <w:rsid w:val="004C1113"/>
    <w:rsid w:val="004E2582"/>
    <w:rsid w:val="0050022C"/>
    <w:rsid w:val="00512769"/>
    <w:rsid w:val="00517181"/>
    <w:rsid w:val="00525D41"/>
    <w:rsid w:val="005262A1"/>
    <w:rsid w:val="00551CC8"/>
    <w:rsid w:val="00551DEA"/>
    <w:rsid w:val="00554C1D"/>
    <w:rsid w:val="00572B90"/>
    <w:rsid w:val="00584FAF"/>
    <w:rsid w:val="00585FA9"/>
    <w:rsid w:val="005A0E92"/>
    <w:rsid w:val="005D1955"/>
    <w:rsid w:val="005D435C"/>
    <w:rsid w:val="005D6636"/>
    <w:rsid w:val="005D7138"/>
    <w:rsid w:val="005E1C1D"/>
    <w:rsid w:val="005E3810"/>
    <w:rsid w:val="005F1E3A"/>
    <w:rsid w:val="006220A6"/>
    <w:rsid w:val="00622650"/>
    <w:rsid w:val="00631C5C"/>
    <w:rsid w:val="00633790"/>
    <w:rsid w:val="0065051D"/>
    <w:rsid w:val="00661F3F"/>
    <w:rsid w:val="00667DE4"/>
    <w:rsid w:val="006700A1"/>
    <w:rsid w:val="006770D5"/>
    <w:rsid w:val="006969BF"/>
    <w:rsid w:val="006B2523"/>
    <w:rsid w:val="006F5B6D"/>
    <w:rsid w:val="007016BD"/>
    <w:rsid w:val="00704047"/>
    <w:rsid w:val="00712C9C"/>
    <w:rsid w:val="00713B92"/>
    <w:rsid w:val="00720FEC"/>
    <w:rsid w:val="007218B9"/>
    <w:rsid w:val="007305C5"/>
    <w:rsid w:val="00731760"/>
    <w:rsid w:val="00743EEC"/>
    <w:rsid w:val="00757FD9"/>
    <w:rsid w:val="00761544"/>
    <w:rsid w:val="007616FC"/>
    <w:rsid w:val="0077288B"/>
    <w:rsid w:val="00777F8A"/>
    <w:rsid w:val="00781BB3"/>
    <w:rsid w:val="00792D35"/>
    <w:rsid w:val="007C5D84"/>
    <w:rsid w:val="007D5D9C"/>
    <w:rsid w:val="00805423"/>
    <w:rsid w:val="00821796"/>
    <w:rsid w:val="0082325A"/>
    <w:rsid w:val="008A1A61"/>
    <w:rsid w:val="008B3F61"/>
    <w:rsid w:val="008B6F27"/>
    <w:rsid w:val="008B71E1"/>
    <w:rsid w:val="008B7477"/>
    <w:rsid w:val="008D1C41"/>
    <w:rsid w:val="008D3444"/>
    <w:rsid w:val="008D39A5"/>
    <w:rsid w:val="008E359F"/>
    <w:rsid w:val="008F09DA"/>
    <w:rsid w:val="008F0A51"/>
    <w:rsid w:val="008F653E"/>
    <w:rsid w:val="00901013"/>
    <w:rsid w:val="00904C21"/>
    <w:rsid w:val="00910925"/>
    <w:rsid w:val="009448BA"/>
    <w:rsid w:val="009611F0"/>
    <w:rsid w:val="00966651"/>
    <w:rsid w:val="00976550"/>
    <w:rsid w:val="009A666D"/>
    <w:rsid w:val="009E12D3"/>
    <w:rsid w:val="009E53AC"/>
    <w:rsid w:val="009F5B12"/>
    <w:rsid w:val="00A01016"/>
    <w:rsid w:val="00A01D26"/>
    <w:rsid w:val="00A239B4"/>
    <w:rsid w:val="00A27824"/>
    <w:rsid w:val="00A34CAE"/>
    <w:rsid w:val="00A45121"/>
    <w:rsid w:val="00A464A8"/>
    <w:rsid w:val="00A540F0"/>
    <w:rsid w:val="00A6429F"/>
    <w:rsid w:val="00AA0411"/>
    <w:rsid w:val="00AA76B5"/>
    <w:rsid w:val="00AC39A3"/>
    <w:rsid w:val="00AC7FE0"/>
    <w:rsid w:val="00AE69F0"/>
    <w:rsid w:val="00B119CC"/>
    <w:rsid w:val="00B21CB9"/>
    <w:rsid w:val="00B25D3E"/>
    <w:rsid w:val="00B44655"/>
    <w:rsid w:val="00B4782E"/>
    <w:rsid w:val="00B52111"/>
    <w:rsid w:val="00B53006"/>
    <w:rsid w:val="00B609E9"/>
    <w:rsid w:val="00B6554B"/>
    <w:rsid w:val="00B67592"/>
    <w:rsid w:val="00B67BD2"/>
    <w:rsid w:val="00B91FBE"/>
    <w:rsid w:val="00BA6FCD"/>
    <w:rsid w:val="00BD7152"/>
    <w:rsid w:val="00BE74AF"/>
    <w:rsid w:val="00C208A3"/>
    <w:rsid w:val="00C42E28"/>
    <w:rsid w:val="00C610FF"/>
    <w:rsid w:val="00C93C54"/>
    <w:rsid w:val="00CB7083"/>
    <w:rsid w:val="00CE0472"/>
    <w:rsid w:val="00CF4FC6"/>
    <w:rsid w:val="00D17204"/>
    <w:rsid w:val="00D203ED"/>
    <w:rsid w:val="00D22411"/>
    <w:rsid w:val="00D43803"/>
    <w:rsid w:val="00D5477D"/>
    <w:rsid w:val="00D72C39"/>
    <w:rsid w:val="00D83789"/>
    <w:rsid w:val="00D9653F"/>
    <w:rsid w:val="00DA199C"/>
    <w:rsid w:val="00DA3DBD"/>
    <w:rsid w:val="00DA64A0"/>
    <w:rsid w:val="00DB066E"/>
    <w:rsid w:val="00DB1C79"/>
    <w:rsid w:val="00DD1C95"/>
    <w:rsid w:val="00E133D1"/>
    <w:rsid w:val="00E3476E"/>
    <w:rsid w:val="00E47AED"/>
    <w:rsid w:val="00E53D80"/>
    <w:rsid w:val="00E55809"/>
    <w:rsid w:val="00E75EB6"/>
    <w:rsid w:val="00E81165"/>
    <w:rsid w:val="00EC02A2"/>
    <w:rsid w:val="00EC20FD"/>
    <w:rsid w:val="00EC600B"/>
    <w:rsid w:val="00ED2518"/>
    <w:rsid w:val="00EE48C4"/>
    <w:rsid w:val="00EF00E1"/>
    <w:rsid w:val="00EF6314"/>
    <w:rsid w:val="00F100A9"/>
    <w:rsid w:val="00F11D5C"/>
    <w:rsid w:val="00F40F3A"/>
    <w:rsid w:val="00F4665E"/>
    <w:rsid w:val="00F50895"/>
    <w:rsid w:val="00F5114B"/>
    <w:rsid w:val="00F64493"/>
    <w:rsid w:val="00F87EB3"/>
    <w:rsid w:val="00FC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ED"/>
    <w:pPr>
      <w:ind w:left="720"/>
      <w:contextualSpacing/>
    </w:pPr>
  </w:style>
  <w:style w:type="paragraph" w:styleId="Header">
    <w:name w:val="header"/>
    <w:basedOn w:val="Normal"/>
    <w:link w:val="HeaderChar"/>
    <w:uiPriority w:val="99"/>
    <w:unhideWhenUsed/>
    <w:rsid w:val="00C9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54"/>
  </w:style>
  <w:style w:type="paragraph" w:styleId="Footer">
    <w:name w:val="footer"/>
    <w:basedOn w:val="Normal"/>
    <w:link w:val="FooterChar"/>
    <w:uiPriority w:val="99"/>
    <w:semiHidden/>
    <w:unhideWhenUsed/>
    <w:rsid w:val="00C93C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3C54"/>
  </w:style>
  <w:style w:type="character" w:styleId="Hyperlink">
    <w:name w:val="Hyperlink"/>
    <w:basedOn w:val="DefaultParagraphFont"/>
    <w:uiPriority w:val="99"/>
    <w:unhideWhenUsed/>
    <w:rsid w:val="00AC39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241444.php" TargetMode="External"/><Relationship Id="rId3" Type="http://schemas.openxmlformats.org/officeDocument/2006/relationships/settings" Target="settings.xml"/><Relationship Id="rId7" Type="http://schemas.openxmlformats.org/officeDocument/2006/relationships/hyperlink" Target="https://www.alzforum.org/news/research-news/bexarotene-first-clinical-results-highlight-contradic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2018-05-16T06:18:00Z</dcterms:created>
  <dcterms:modified xsi:type="dcterms:W3CDTF">2018-05-16T06:18:00Z</dcterms:modified>
</cp:coreProperties>
</file>