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27" w:rsidRPr="00C425AA" w:rsidRDefault="00F54227" w:rsidP="008E5DBC">
      <w:pPr>
        <w:spacing w:line="480" w:lineRule="auto"/>
        <w:contextualSpacing/>
      </w:pPr>
    </w:p>
    <w:p w:rsidR="00F54227" w:rsidRPr="00C425AA" w:rsidRDefault="00F54227" w:rsidP="008E5DBC">
      <w:pPr>
        <w:spacing w:line="480" w:lineRule="auto"/>
        <w:contextualSpacing/>
      </w:pPr>
    </w:p>
    <w:p w:rsidR="00F54227" w:rsidRPr="00C425AA" w:rsidRDefault="00F54227" w:rsidP="008E5DBC">
      <w:pPr>
        <w:spacing w:line="480" w:lineRule="auto"/>
        <w:contextualSpacing/>
      </w:pPr>
    </w:p>
    <w:p w:rsidR="00F54227" w:rsidRPr="00C425AA" w:rsidRDefault="00F54227" w:rsidP="008E5DBC">
      <w:pPr>
        <w:spacing w:line="480" w:lineRule="auto"/>
        <w:contextualSpacing/>
      </w:pPr>
    </w:p>
    <w:p w:rsidR="0088072B" w:rsidRPr="00C425AA" w:rsidRDefault="00AE12CB" w:rsidP="00F54227">
      <w:pPr>
        <w:spacing w:line="480" w:lineRule="auto"/>
        <w:contextualSpacing/>
        <w:jc w:val="center"/>
      </w:pPr>
      <w:r w:rsidRPr="00C425AA">
        <w:t>Point of View</w:t>
      </w:r>
      <w:r w:rsidR="00F54227" w:rsidRPr="00C425AA">
        <w:t xml:space="preserve"> Journal</w:t>
      </w:r>
    </w:p>
    <w:p w:rsidR="00F54227" w:rsidRPr="00C425AA" w:rsidRDefault="00F54227" w:rsidP="00F54227">
      <w:pPr>
        <w:spacing w:line="480" w:lineRule="auto"/>
        <w:contextualSpacing/>
        <w:jc w:val="center"/>
      </w:pPr>
      <w:r w:rsidRPr="00C425AA">
        <w:t>Student’s Name</w:t>
      </w:r>
    </w:p>
    <w:p w:rsidR="00F54227" w:rsidRPr="00C425AA" w:rsidRDefault="00F54227" w:rsidP="00F54227">
      <w:pPr>
        <w:spacing w:line="480" w:lineRule="auto"/>
        <w:contextualSpacing/>
        <w:jc w:val="center"/>
      </w:pPr>
    </w:p>
    <w:p w:rsidR="00F54227" w:rsidRPr="00C425AA" w:rsidRDefault="00F542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  <w:r w:rsidRPr="00C425AA">
        <w:t>Professor</w:t>
      </w:r>
    </w:p>
    <w:p w:rsidR="00945D27" w:rsidRPr="00C425AA" w:rsidRDefault="00945D27" w:rsidP="00F54227">
      <w:pPr>
        <w:spacing w:line="480" w:lineRule="auto"/>
        <w:contextualSpacing/>
        <w:jc w:val="center"/>
      </w:pPr>
      <w:r w:rsidRPr="00C425AA">
        <w:t>Course</w:t>
      </w: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AB22B8" w:rsidRPr="00C425AA" w:rsidRDefault="00AB22B8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  <w:r w:rsidRPr="00C425AA">
        <w:t>Institution</w:t>
      </w:r>
    </w:p>
    <w:p w:rsidR="00945D27" w:rsidRPr="00C425AA" w:rsidRDefault="00945D27" w:rsidP="00F54227">
      <w:pPr>
        <w:spacing w:line="480" w:lineRule="auto"/>
        <w:contextualSpacing/>
        <w:jc w:val="center"/>
      </w:pPr>
      <w:r w:rsidRPr="00C425AA">
        <w:t>City</w:t>
      </w:r>
    </w:p>
    <w:p w:rsidR="00945D27" w:rsidRPr="00C425AA" w:rsidRDefault="00945D27" w:rsidP="00F54227">
      <w:pPr>
        <w:spacing w:line="480" w:lineRule="auto"/>
        <w:contextualSpacing/>
        <w:jc w:val="center"/>
      </w:pPr>
      <w:r w:rsidRPr="00C425AA">
        <w:t>Date</w:t>
      </w: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F54227">
      <w:pPr>
        <w:spacing w:line="480" w:lineRule="auto"/>
        <w:contextualSpacing/>
        <w:jc w:val="center"/>
      </w:pPr>
    </w:p>
    <w:p w:rsidR="00945D27" w:rsidRPr="00C425AA" w:rsidRDefault="00945D27" w:rsidP="00B06017">
      <w:pPr>
        <w:spacing w:line="480" w:lineRule="auto"/>
        <w:contextualSpacing/>
      </w:pPr>
    </w:p>
    <w:p w:rsidR="007B4BC4" w:rsidRPr="00DE5EA8" w:rsidRDefault="007B4BC4" w:rsidP="008E5DBC">
      <w:pPr>
        <w:spacing w:line="480" w:lineRule="auto"/>
        <w:contextualSpacing/>
        <w:rPr>
          <w:b/>
        </w:rPr>
      </w:pPr>
      <w:r w:rsidRPr="00DE5EA8">
        <w:rPr>
          <w:b/>
        </w:rPr>
        <w:lastRenderedPageBreak/>
        <w:t>Sustainability and innovation</w:t>
      </w:r>
    </w:p>
    <w:p w:rsidR="008E5DBC" w:rsidRPr="00C425AA" w:rsidRDefault="00C7175B" w:rsidP="008E5DBC">
      <w:pPr>
        <w:spacing w:line="480" w:lineRule="auto"/>
        <w:contextualSpacing/>
      </w:pPr>
      <w:r w:rsidRPr="00C425AA">
        <w:t xml:space="preserve">The issue of sustainability continues to gain momentum </w:t>
      </w:r>
      <w:r w:rsidR="003A7E04" w:rsidRPr="00C425AA">
        <w:t>due to the elevated global promotion</w:t>
      </w:r>
      <w:r w:rsidR="006E4798">
        <w:t xml:space="preserve">. </w:t>
      </w:r>
      <w:r w:rsidR="00F905D2">
        <w:rPr>
          <w:noProof/>
        </w:rPr>
        <w:t>Proponents of sustainability</w:t>
      </w:r>
      <w:r w:rsidR="0039788F">
        <w:rPr>
          <w:noProof/>
        </w:rPr>
        <w:t xml:space="preserve"> argue </w:t>
      </w:r>
      <w:r w:rsidR="0011503F" w:rsidRPr="0039788F">
        <w:rPr>
          <w:noProof/>
        </w:rPr>
        <w:t>that sustainability</w:t>
      </w:r>
      <w:r w:rsidR="0039788F">
        <w:t xml:space="preserve"> involves the maintenance </w:t>
      </w:r>
      <w:r w:rsidR="0039788F" w:rsidRPr="0039788F">
        <w:rPr>
          <w:noProof/>
        </w:rPr>
        <w:t>of</w:t>
      </w:r>
      <w:r w:rsidR="0011503F" w:rsidRPr="0039788F">
        <w:rPr>
          <w:noProof/>
        </w:rPr>
        <w:t xml:space="preserve"> balance</w:t>
      </w:r>
      <w:r w:rsidR="0011503F" w:rsidRPr="00C425AA">
        <w:t xml:space="preserve"> on social, enviro</w:t>
      </w:r>
      <w:r w:rsidR="0039788F">
        <w:t>nmental, and financial elements</w:t>
      </w:r>
      <w:r w:rsidR="0011503F" w:rsidRPr="00C425AA">
        <w:t xml:space="preserve">. Furthermore, </w:t>
      </w:r>
      <w:r w:rsidR="00F905D2">
        <w:t xml:space="preserve">proponents of sustainability argue that it can apply </w:t>
      </w:r>
      <w:r w:rsidR="00812C2A" w:rsidRPr="00C425AA">
        <w:t>to services, products</w:t>
      </w:r>
      <w:r w:rsidR="00F905D2">
        <w:t>,</w:t>
      </w:r>
      <w:r w:rsidR="00812C2A" w:rsidRPr="00C425AA">
        <w:t xml:space="preserve"> </w:t>
      </w:r>
      <w:r w:rsidR="00812C2A" w:rsidRPr="00F905D2">
        <w:rPr>
          <w:noProof/>
        </w:rPr>
        <w:t>and</w:t>
      </w:r>
      <w:r w:rsidR="00812C2A" w:rsidRPr="00C425AA">
        <w:t xml:space="preserve"> </w:t>
      </w:r>
      <w:r w:rsidR="00F7179A" w:rsidRPr="00C425AA">
        <w:t>technologies. This essay argues that without innovation, sustainability</w:t>
      </w:r>
      <w:r w:rsidR="00246E11" w:rsidRPr="00C425AA">
        <w:t xml:space="preserve"> is impossible</w:t>
      </w:r>
      <w:r w:rsidR="00325B4B" w:rsidRPr="00C425AA">
        <w:t>.</w:t>
      </w:r>
    </w:p>
    <w:p w:rsidR="00325B4B" w:rsidRPr="00C425AA" w:rsidRDefault="00796083" w:rsidP="008E5DBC">
      <w:pPr>
        <w:spacing w:line="480" w:lineRule="auto"/>
        <w:contextualSpacing/>
      </w:pPr>
      <w:r w:rsidRPr="00C425AA">
        <w:t xml:space="preserve">Innovation, according to </w:t>
      </w:r>
      <w:r w:rsidR="00EC42BF" w:rsidRPr="00C425AA">
        <w:t xml:space="preserve">Boons, </w:t>
      </w:r>
      <w:r w:rsidRPr="00C425AA">
        <w:t>Montalvo, Quist, and Wagner (2013)</w:t>
      </w:r>
      <w:r w:rsidR="004D63AF" w:rsidRPr="00C425AA">
        <w:t xml:space="preserve">, can be termed as the process of implementing </w:t>
      </w:r>
      <w:r w:rsidR="0089100C" w:rsidRPr="00C425AA">
        <w:t xml:space="preserve">unique methods and procedures to achieve elevated efficiency in economic, ecological and social criteria. </w:t>
      </w:r>
      <w:r w:rsidR="00AE0A89" w:rsidRPr="00C425AA">
        <w:t xml:space="preserve">It is also worth noting that innovation can take different forms based on the type of </w:t>
      </w:r>
      <w:r w:rsidR="00566D5C" w:rsidRPr="00C425AA">
        <w:t>organization</w:t>
      </w:r>
      <w:r w:rsidR="00AE0A89" w:rsidRPr="00C425AA">
        <w:t xml:space="preserve">. For example, </w:t>
      </w:r>
      <w:r w:rsidR="009F0516" w:rsidRPr="00C425AA">
        <w:t xml:space="preserve">Becker and Egger (2013) opine that </w:t>
      </w:r>
      <w:r w:rsidR="00AE0A89" w:rsidRPr="00C425AA">
        <w:t>innovation can be a service, process, or product</w:t>
      </w:r>
      <w:r w:rsidR="009C2AD2" w:rsidRPr="00C425AA">
        <w:t xml:space="preserve">. Additionally, </w:t>
      </w:r>
      <w:r w:rsidR="00ED3A2A" w:rsidRPr="00C425AA">
        <w:t xml:space="preserve">Boons, Montalvo, Quist, and Wagner (2013) affirm that </w:t>
      </w:r>
      <w:r w:rsidR="009C2AD2" w:rsidRPr="00C425AA">
        <w:t xml:space="preserve">innovations may also involve the planning of how the service, process, or product would be produced and consumed at the </w:t>
      </w:r>
      <w:r w:rsidR="00A453AC" w:rsidRPr="00C425AA">
        <w:t>sectoral,</w:t>
      </w:r>
      <w:r w:rsidR="009C2AD2" w:rsidRPr="00C425AA">
        <w:t xml:space="preserve"> organizational, and business systems level. </w:t>
      </w:r>
    </w:p>
    <w:p w:rsidR="000A0216" w:rsidRPr="00C425AA" w:rsidRDefault="00C324F1" w:rsidP="008E5DBC">
      <w:pPr>
        <w:spacing w:line="480" w:lineRule="auto"/>
        <w:contextualSpacing/>
      </w:pPr>
      <w:r w:rsidRPr="00C425AA">
        <w:t xml:space="preserve">Innovation is paramount for the attainment of sustainability because of its role in enhancing efficiency. </w:t>
      </w:r>
      <w:r w:rsidR="0012766E" w:rsidRPr="00C425AA">
        <w:t>However, the innovation process, accordi</w:t>
      </w:r>
      <w:r w:rsidR="00C41C0E" w:rsidRPr="00C425AA">
        <w:t>ng to Lamperti, Mavilia, and Castellini (2017)</w:t>
      </w:r>
      <w:r w:rsidR="0061180E" w:rsidRPr="00C425AA">
        <w:t>, requires investing in research and development</w:t>
      </w:r>
      <w:r w:rsidR="00A56A0D" w:rsidRPr="00C425AA">
        <w:t xml:space="preserve">, henceforth abbreviated as R&amp;D. </w:t>
      </w:r>
      <w:r w:rsidR="000A0216" w:rsidRPr="00C425AA">
        <w:t>Lamperti, Mavilia, and Castellini (2017) continue to assert that t</w:t>
      </w:r>
      <w:r w:rsidR="00007F30" w:rsidRPr="00C425AA">
        <w:t xml:space="preserve">he role of the R&amp;D is to </w:t>
      </w:r>
      <w:r w:rsidR="000028ED">
        <w:rPr>
          <w:noProof/>
        </w:rPr>
        <w:t>research</w:t>
      </w:r>
      <w:r w:rsidR="000028ED">
        <w:t xml:space="preserve"> how to achieve the intended </w:t>
      </w:r>
      <w:r w:rsidR="000028ED" w:rsidRPr="00F4424E">
        <w:rPr>
          <w:noProof/>
        </w:rPr>
        <w:t>changes</w:t>
      </w:r>
      <w:r w:rsidR="00390BD8" w:rsidRPr="00F4424E">
        <w:rPr>
          <w:noProof/>
        </w:rPr>
        <w:t xml:space="preserve"> without</w:t>
      </w:r>
      <w:r w:rsidR="00390BD8" w:rsidRPr="00C425AA">
        <w:t xml:space="preserve"> necessarily affecting the quality of the service or product. </w:t>
      </w:r>
    </w:p>
    <w:p w:rsidR="00834E8E" w:rsidRPr="00C425AA" w:rsidRDefault="00B643BC" w:rsidP="008E5DBC">
      <w:pPr>
        <w:spacing w:line="480" w:lineRule="auto"/>
        <w:contextualSpacing/>
      </w:pPr>
      <w:r w:rsidRPr="00C425AA">
        <w:t xml:space="preserve">Based on the understanding that the R&amp;D process requires other resources to conduct research and implement the intended improvements, </w:t>
      </w:r>
      <w:r w:rsidR="00716B57" w:rsidRPr="00C425AA">
        <w:t xml:space="preserve">Goodman and Arenas (2015) declare that </w:t>
      </w:r>
      <w:r w:rsidRPr="00C425AA">
        <w:t xml:space="preserve">it would be necessary to engage all stakeholders for the attainment of a smooth process. </w:t>
      </w:r>
      <w:r w:rsidR="0066404B" w:rsidRPr="00C425AA">
        <w:t xml:space="preserve">It </w:t>
      </w:r>
      <w:r w:rsidR="0009175B" w:rsidRPr="00C425AA">
        <w:t xml:space="preserve">is necessary to </w:t>
      </w:r>
      <w:r w:rsidR="0009175B" w:rsidRPr="00C425AA">
        <w:lastRenderedPageBreak/>
        <w:t xml:space="preserve">inform all stakeholders because the </w:t>
      </w:r>
      <w:r w:rsidR="00CA7BA4">
        <w:t xml:space="preserve">proposed changes, after the research findings, </w:t>
      </w:r>
      <w:r w:rsidR="0009175B" w:rsidRPr="00C425AA">
        <w:t xml:space="preserve">may affect them. Additionally, it is also necessary to inform stakeholders to avoid unnecessary resistance that may affect the overall production of the firm. </w:t>
      </w:r>
      <w:r w:rsidR="0078203E" w:rsidRPr="00C425AA">
        <w:t>Browne and Nutall (2013) assert</w:t>
      </w:r>
      <w:r w:rsidR="0009175B" w:rsidRPr="00C425AA">
        <w:t xml:space="preserve"> that </w:t>
      </w:r>
      <w:r w:rsidR="00864B73" w:rsidRPr="00C425AA">
        <w:t>stakeholders may resist the changes</w:t>
      </w:r>
      <w:r w:rsidR="00EB0177" w:rsidRPr="00C425AA">
        <w:t xml:space="preserve"> if they are not engaged in any changes taking place</w:t>
      </w:r>
      <w:r w:rsidR="00864B73" w:rsidRPr="00C425AA">
        <w:t xml:space="preserve">, which may further derail the attainment of the intended objectives. </w:t>
      </w:r>
      <w:r w:rsidR="001B7CB1" w:rsidRPr="00C425AA">
        <w:t>It would be unethical not to inform stake</w:t>
      </w:r>
      <w:r w:rsidR="00DE15A4" w:rsidRPr="00C425AA">
        <w:t xml:space="preserve">holders, yet they will also be affected by the decisions made </w:t>
      </w:r>
      <w:r w:rsidR="001D5E41">
        <w:rPr>
          <w:noProof/>
        </w:rPr>
        <w:t>about</w:t>
      </w:r>
      <w:r w:rsidR="00DE15A4" w:rsidRPr="00C425AA">
        <w:t xml:space="preserve"> the innovation process. </w:t>
      </w:r>
      <w:r w:rsidR="00864B73" w:rsidRPr="00C425AA">
        <w:t xml:space="preserve">Therefore, stakeholders need to be involved </w:t>
      </w:r>
      <w:r w:rsidR="00046912" w:rsidRPr="00C425AA">
        <w:t>so that t</w:t>
      </w:r>
      <w:r w:rsidR="00BE47D6" w:rsidRPr="00C425AA">
        <w:t xml:space="preserve">hey can also contribute to the betterment of the firm. </w:t>
      </w:r>
    </w:p>
    <w:p w:rsidR="00A83FC1" w:rsidRPr="00A83FC1" w:rsidRDefault="00EA1358" w:rsidP="008E5DBC">
      <w:pPr>
        <w:spacing w:line="480" w:lineRule="auto"/>
        <w:contextualSpacing/>
        <w:rPr>
          <w:noProof/>
        </w:rPr>
      </w:pPr>
      <w:r w:rsidRPr="00C425AA">
        <w:t xml:space="preserve">Innovation is crucial for the attainment of sustainability </w:t>
      </w:r>
      <w:r w:rsidR="004B4D86" w:rsidRPr="00C425AA">
        <w:t xml:space="preserve">in the following way. </w:t>
      </w:r>
      <w:r w:rsidR="00807C7D" w:rsidRPr="00C425AA">
        <w:t xml:space="preserve">Innovation involves the implementation of quality methods to enhance efficiency. </w:t>
      </w:r>
      <w:r w:rsidR="001D5E41" w:rsidRPr="001D5E41">
        <w:rPr>
          <w:noProof/>
        </w:rPr>
        <w:t xml:space="preserve">Innovation is necessary because it enhances balance in the </w:t>
      </w:r>
      <w:r w:rsidR="00552834" w:rsidRPr="001D5E41">
        <w:rPr>
          <w:noProof/>
        </w:rPr>
        <w:t xml:space="preserve">ecological, societal, and economic elements, which are crucial in </w:t>
      </w:r>
      <w:r w:rsidR="00AA1755" w:rsidRPr="001D5E41">
        <w:rPr>
          <w:noProof/>
        </w:rPr>
        <w:t>sustainability</w:t>
      </w:r>
      <w:r w:rsidR="00AA1755" w:rsidRPr="00C425AA">
        <w:t xml:space="preserve">. </w:t>
      </w:r>
      <w:r w:rsidR="004F5E06" w:rsidRPr="00C425AA">
        <w:t xml:space="preserve">Achieving the </w:t>
      </w:r>
      <w:r w:rsidR="004F5E06" w:rsidRPr="001D5E41">
        <w:rPr>
          <w:noProof/>
        </w:rPr>
        <w:t>economic</w:t>
      </w:r>
      <w:r w:rsidR="004F5E06" w:rsidRPr="00C425AA">
        <w:t xml:space="preserve"> perspective, for example, </w:t>
      </w:r>
      <w:r w:rsidR="0048075F" w:rsidRPr="00C425AA">
        <w:t>Schaltegeer, Ludeke-Fruend, and Hansen (2012) aver that investment</w:t>
      </w:r>
      <w:r w:rsidR="004F5E06" w:rsidRPr="00C425AA">
        <w:t xml:space="preserve"> on technology </w:t>
      </w:r>
      <w:r w:rsidR="00585C9D" w:rsidRPr="00C425AA">
        <w:t xml:space="preserve">is necessary </w:t>
      </w:r>
      <w:r w:rsidR="00AC65C2" w:rsidRPr="00C425AA">
        <w:t xml:space="preserve">to ensure </w:t>
      </w:r>
      <w:r w:rsidR="001D5E41">
        <w:t xml:space="preserve">a reduction in </w:t>
      </w:r>
      <w:r w:rsidR="004F5E06" w:rsidRPr="00C425AA">
        <w:t xml:space="preserve">costs of production </w:t>
      </w:r>
      <w:r w:rsidR="004F5E06" w:rsidRPr="001D5E41">
        <w:rPr>
          <w:noProof/>
        </w:rPr>
        <w:t>to</w:t>
      </w:r>
      <w:r w:rsidR="004F5E06" w:rsidRPr="00C425AA">
        <w:t xml:space="preserve"> attain profit in the long term. </w:t>
      </w:r>
      <w:r w:rsidR="007E2D3F" w:rsidRPr="00C425AA">
        <w:t xml:space="preserve">The </w:t>
      </w:r>
      <w:r w:rsidR="00A83FC1">
        <w:t>technology that would achieve a reduction in production</w:t>
      </w:r>
      <w:r w:rsidR="00F53553" w:rsidRPr="00C425AA">
        <w:t xml:space="preserve"> costs would be possible through innovation</w:t>
      </w:r>
      <w:r w:rsidR="00F53553" w:rsidRPr="00A83FC1">
        <w:rPr>
          <w:noProof/>
        </w:rPr>
        <w:t xml:space="preserve">. </w:t>
      </w:r>
    </w:p>
    <w:p w:rsidR="00DE15A4" w:rsidRPr="00C425AA" w:rsidRDefault="002A70A2" w:rsidP="008E5DBC">
      <w:pPr>
        <w:spacing w:line="480" w:lineRule="auto"/>
        <w:contextualSpacing/>
      </w:pPr>
      <w:r w:rsidRPr="00A83FC1">
        <w:rPr>
          <w:noProof/>
        </w:rPr>
        <w:t>Additionally</w:t>
      </w:r>
      <w:r w:rsidRPr="00C425AA">
        <w:t xml:space="preserve">, to achieve the ecological element, </w:t>
      </w:r>
      <w:r w:rsidR="001A0505" w:rsidRPr="00C425AA">
        <w:t xml:space="preserve">Michel et al. (2013) </w:t>
      </w:r>
      <w:r w:rsidR="001A0505" w:rsidRPr="005807F9">
        <w:rPr>
          <w:noProof/>
        </w:rPr>
        <w:t>opine</w:t>
      </w:r>
      <w:r w:rsidR="001A0505" w:rsidRPr="00C425AA">
        <w:t xml:space="preserve"> that </w:t>
      </w:r>
      <w:r w:rsidRPr="00C425AA">
        <w:t xml:space="preserve">a firm may need </w:t>
      </w:r>
      <w:r w:rsidR="00FA12A0" w:rsidRPr="00C425AA">
        <w:t xml:space="preserve">to ensure its processes do not adversely affect the environment. </w:t>
      </w:r>
      <w:r w:rsidR="000C28F8" w:rsidRPr="00C425AA">
        <w:t xml:space="preserve">Furthermore, to achieve the </w:t>
      </w:r>
      <w:r w:rsidR="0097668A" w:rsidRPr="00C425AA">
        <w:t xml:space="preserve">societal </w:t>
      </w:r>
      <w:r w:rsidR="00F6752D" w:rsidRPr="00C425AA">
        <w:t xml:space="preserve">element, </w:t>
      </w:r>
      <w:r w:rsidR="00912381" w:rsidRPr="00C425AA">
        <w:t xml:space="preserve">Lamperti, Mavilia, and Castellini, (2017) propose that </w:t>
      </w:r>
      <w:r w:rsidR="00F6752D" w:rsidRPr="00C425AA">
        <w:t xml:space="preserve">the firm may need to invest </w:t>
      </w:r>
      <w:r w:rsidR="00B02359" w:rsidRPr="00C425AA">
        <w:t xml:space="preserve">in processes that </w:t>
      </w:r>
      <w:r w:rsidR="00C91399" w:rsidRPr="00C425AA">
        <w:t>boost</w:t>
      </w:r>
      <w:r w:rsidR="00B02359" w:rsidRPr="00C425AA">
        <w:t xml:space="preserve"> the community</w:t>
      </w:r>
      <w:r w:rsidR="00CD67CB">
        <w:t>’s welfare</w:t>
      </w:r>
      <w:r w:rsidR="00B02359" w:rsidRPr="00C425AA">
        <w:t xml:space="preserve">, </w:t>
      </w:r>
      <w:r w:rsidR="00CD67CB">
        <w:t xml:space="preserve">which </w:t>
      </w:r>
      <w:r w:rsidR="00F6752D" w:rsidRPr="00C425AA">
        <w:t>innovation</w:t>
      </w:r>
      <w:r w:rsidR="00CD67CB">
        <w:t xml:space="preserve"> enhances</w:t>
      </w:r>
      <w:r w:rsidR="00F6752D" w:rsidRPr="00C425AA">
        <w:t xml:space="preserve">. Therefore, it can </w:t>
      </w:r>
      <w:r w:rsidR="00F6752D" w:rsidRPr="00C91399">
        <w:rPr>
          <w:noProof/>
        </w:rPr>
        <w:t>be observed</w:t>
      </w:r>
      <w:r w:rsidR="00F6752D" w:rsidRPr="00C425AA">
        <w:t xml:space="preserve"> that innovation is necessary for sustainability. </w:t>
      </w:r>
    </w:p>
    <w:p w:rsidR="00156035" w:rsidRPr="00C425AA" w:rsidRDefault="00156035" w:rsidP="008E5DBC">
      <w:pPr>
        <w:spacing w:line="480" w:lineRule="auto"/>
        <w:contextualSpacing/>
        <w:rPr>
          <w:b/>
        </w:rPr>
      </w:pPr>
    </w:p>
    <w:p w:rsidR="00156035" w:rsidRDefault="00156035" w:rsidP="008E5DBC">
      <w:pPr>
        <w:spacing w:line="480" w:lineRule="auto"/>
        <w:contextualSpacing/>
        <w:rPr>
          <w:b/>
        </w:rPr>
      </w:pPr>
    </w:p>
    <w:p w:rsidR="00C96521" w:rsidRPr="00C425AA" w:rsidRDefault="00C96521" w:rsidP="008E5DBC">
      <w:pPr>
        <w:spacing w:line="480" w:lineRule="auto"/>
        <w:contextualSpacing/>
        <w:rPr>
          <w:b/>
        </w:rPr>
      </w:pPr>
    </w:p>
    <w:p w:rsidR="00CD2C6D" w:rsidRPr="00C425AA" w:rsidRDefault="00951133" w:rsidP="008E5DBC">
      <w:pPr>
        <w:spacing w:line="480" w:lineRule="auto"/>
        <w:contextualSpacing/>
        <w:rPr>
          <w:b/>
        </w:rPr>
      </w:pPr>
      <w:r w:rsidRPr="00C425AA">
        <w:rPr>
          <w:b/>
        </w:rPr>
        <w:lastRenderedPageBreak/>
        <w:t xml:space="preserve">Supply </w:t>
      </w:r>
      <w:r w:rsidR="00A30A86" w:rsidRPr="00C425AA">
        <w:rPr>
          <w:b/>
        </w:rPr>
        <w:t>Risk mitigation and sustainability</w:t>
      </w:r>
    </w:p>
    <w:p w:rsidR="00A30A86" w:rsidRPr="00C425AA" w:rsidRDefault="00DD0F5B" w:rsidP="008E5DBC">
      <w:pPr>
        <w:spacing w:line="480" w:lineRule="auto"/>
        <w:contextualSpacing/>
      </w:pPr>
      <w:r w:rsidRPr="00C425AA">
        <w:t xml:space="preserve">It is worth noting that </w:t>
      </w:r>
      <w:r w:rsidR="00C91399">
        <w:rPr>
          <w:noProof/>
        </w:rPr>
        <w:t>several processes</w:t>
      </w:r>
      <w:r w:rsidR="00F64B48" w:rsidRPr="00C91399">
        <w:rPr>
          <w:noProof/>
        </w:rPr>
        <w:t xml:space="preserve"> enhance</w:t>
      </w:r>
      <w:r w:rsidR="00A86035" w:rsidRPr="00C425AA">
        <w:t xml:space="preserve"> the attainment of the sustainability process. </w:t>
      </w:r>
      <w:r w:rsidR="00B44E12" w:rsidRPr="00C425AA">
        <w:t xml:space="preserve">Therefore, to ensure that </w:t>
      </w:r>
      <w:r w:rsidR="00F036FE" w:rsidRPr="00C425AA">
        <w:t>the process is effective, there is a need to engage in measures to reduce risks</w:t>
      </w:r>
      <w:r w:rsidR="0002686F" w:rsidRPr="00C425AA">
        <w:t xml:space="preserve">. </w:t>
      </w:r>
      <w:r w:rsidR="005D087B">
        <w:t>This essay argues</w:t>
      </w:r>
      <w:r w:rsidR="005F5B0B">
        <w:t xml:space="preserve"> that risk management</w:t>
      </w:r>
      <w:r w:rsidR="0017559A" w:rsidRPr="00C425AA">
        <w:t xml:space="preserve"> is a necessary ingredient in the sustainability process.</w:t>
      </w:r>
      <w:r w:rsidR="00951133" w:rsidRPr="00C425AA">
        <w:t xml:space="preserve"> </w:t>
      </w:r>
      <w:r w:rsidR="0017559A" w:rsidRPr="00C425AA">
        <w:t xml:space="preserve"> </w:t>
      </w:r>
    </w:p>
    <w:p w:rsidR="00B07B1F" w:rsidRPr="00C425AA" w:rsidRDefault="004737BD" w:rsidP="008E5DBC">
      <w:pPr>
        <w:spacing w:line="480" w:lineRule="auto"/>
        <w:contextualSpacing/>
      </w:pPr>
      <w:r w:rsidRPr="00C425AA">
        <w:t>Hajmohammad and Vachon (2016)</w:t>
      </w:r>
      <w:r w:rsidR="00FD16AE" w:rsidRPr="00C425AA">
        <w:t xml:space="preserve"> assert that</w:t>
      </w:r>
      <w:r w:rsidRPr="00C425AA">
        <w:t xml:space="preserve"> </w:t>
      </w:r>
      <w:r w:rsidR="00C041E2" w:rsidRPr="00351CE2">
        <w:rPr>
          <w:noProof/>
        </w:rPr>
        <w:t>the</w:t>
      </w:r>
      <w:r w:rsidR="00262727" w:rsidRPr="00351CE2">
        <w:rPr>
          <w:noProof/>
        </w:rPr>
        <w:t xml:space="preserve"> association</w:t>
      </w:r>
      <w:r w:rsidR="00262727">
        <w:t xml:space="preserve"> with suppliers with unethical practices tarnishes a firm’s reputation</w:t>
      </w:r>
      <w:r w:rsidR="00050E51" w:rsidRPr="00C425AA">
        <w:t xml:space="preserve">. It can </w:t>
      </w:r>
      <w:r w:rsidR="00050E51" w:rsidRPr="00C372FE">
        <w:rPr>
          <w:noProof/>
        </w:rPr>
        <w:t>be observed</w:t>
      </w:r>
      <w:r w:rsidR="00050E51" w:rsidRPr="00C425AA">
        <w:t xml:space="preserve"> that suppliers play a significant role in </w:t>
      </w:r>
      <w:r w:rsidR="00050E51" w:rsidRPr="00C372FE">
        <w:rPr>
          <w:noProof/>
        </w:rPr>
        <w:t>business</w:t>
      </w:r>
      <w:r w:rsidR="00050E51" w:rsidRPr="00C425AA">
        <w:t xml:space="preserve"> by providing the necessary materials</w:t>
      </w:r>
      <w:r w:rsidR="00EC1550" w:rsidRPr="00C425AA">
        <w:t xml:space="preserve"> and resources. </w:t>
      </w:r>
      <w:r w:rsidR="00382B35" w:rsidRPr="00C425AA">
        <w:t xml:space="preserve">The questionable </w:t>
      </w:r>
      <w:r w:rsidR="00E07BED" w:rsidRPr="00C425AA">
        <w:t xml:space="preserve">character of suppliers can </w:t>
      </w:r>
      <w:r w:rsidR="00701D72" w:rsidRPr="00C425AA">
        <w:t xml:space="preserve">affect a company’s reputation particularly if they engage in unethical behavior. Therefore, there is a need to ensure that a firm conducts </w:t>
      </w:r>
      <w:r w:rsidR="00AE16DF" w:rsidRPr="00C425AA">
        <w:t xml:space="preserve">a sustainability risk evaluation to avoid the consequences that may emanate from </w:t>
      </w:r>
      <w:r w:rsidR="00CB2640" w:rsidRPr="00C425AA">
        <w:t xml:space="preserve">the risks. </w:t>
      </w:r>
      <w:r w:rsidR="00F5702F" w:rsidRPr="00C425AA">
        <w:t>Hajmohammad and Vachon (2016)</w:t>
      </w:r>
      <w:r w:rsidR="004D27ED" w:rsidRPr="00C425AA">
        <w:t xml:space="preserve"> assert</w:t>
      </w:r>
      <w:r w:rsidR="00CB2640" w:rsidRPr="00C425AA">
        <w:t xml:space="preserve"> that there are four strategies for the management of sustainability risk</w:t>
      </w:r>
      <w:r w:rsidR="00C372FE">
        <w:t>,</w:t>
      </w:r>
      <w:r w:rsidR="00CB2640" w:rsidRPr="00C425AA">
        <w:t xml:space="preserve"> </w:t>
      </w:r>
      <w:r w:rsidR="00CB2640" w:rsidRPr="00C372FE">
        <w:rPr>
          <w:noProof/>
        </w:rPr>
        <w:t>and</w:t>
      </w:r>
      <w:r w:rsidR="00CB2640" w:rsidRPr="00C425AA">
        <w:t xml:space="preserve"> they </w:t>
      </w:r>
      <w:r w:rsidR="00CB2640" w:rsidRPr="00C372FE">
        <w:rPr>
          <w:noProof/>
        </w:rPr>
        <w:t>include</w:t>
      </w:r>
      <w:r w:rsidR="00CB2640" w:rsidRPr="00C425AA">
        <w:t xml:space="preserve"> risk </w:t>
      </w:r>
      <w:r w:rsidR="00EA7019" w:rsidRPr="00C425AA">
        <w:t>aversion</w:t>
      </w:r>
      <w:r w:rsidR="00CB2640" w:rsidRPr="00C425AA">
        <w:t xml:space="preserve">, </w:t>
      </w:r>
      <w:r w:rsidR="00010A30" w:rsidRPr="00C425AA">
        <w:t>scrutinizing</w:t>
      </w:r>
      <w:r w:rsidR="006625A6" w:rsidRPr="00C425AA">
        <w:t xml:space="preserve">-based risk </w:t>
      </w:r>
      <w:r w:rsidR="00010A30" w:rsidRPr="00C425AA">
        <w:t>alleviation</w:t>
      </w:r>
      <w:r w:rsidR="006625A6" w:rsidRPr="00C425AA">
        <w:t xml:space="preserve">, </w:t>
      </w:r>
      <w:r w:rsidR="00010A30" w:rsidRPr="00C425AA">
        <w:t>teamwork</w:t>
      </w:r>
      <w:r w:rsidR="006625A6" w:rsidRPr="00C425AA">
        <w:t xml:space="preserve">-based risk </w:t>
      </w:r>
      <w:r w:rsidR="00010A30" w:rsidRPr="00C425AA">
        <w:t>alleviation</w:t>
      </w:r>
      <w:r w:rsidR="006625A6" w:rsidRPr="00C425AA">
        <w:t xml:space="preserve">, and risk </w:t>
      </w:r>
      <w:r w:rsidR="00010A30" w:rsidRPr="00C425AA">
        <w:t>reception</w:t>
      </w:r>
      <w:r w:rsidR="006625A6" w:rsidRPr="00C425AA">
        <w:t xml:space="preserve">. </w:t>
      </w:r>
    </w:p>
    <w:p w:rsidR="005B1157" w:rsidRPr="00C425AA" w:rsidRDefault="00D459F5" w:rsidP="008E5DBC">
      <w:pPr>
        <w:spacing w:line="480" w:lineRule="auto"/>
        <w:contextualSpacing/>
      </w:pPr>
      <w:r w:rsidRPr="00C425AA">
        <w:t>Olson and Wu (2015) aver that t</w:t>
      </w:r>
      <w:r w:rsidR="00B07B1F" w:rsidRPr="00C425AA">
        <w:t>he risk aversion strategy involves</w:t>
      </w:r>
      <w:r w:rsidR="0082639E" w:rsidRPr="00C425AA">
        <w:t xml:space="preserve"> risk elimination </w:t>
      </w:r>
      <w:r w:rsidR="00B421FD" w:rsidRPr="00C425AA">
        <w:t xml:space="preserve">through withdrawal from the risky environment. For example, if the supplier is responsible for the </w:t>
      </w:r>
      <w:r w:rsidR="00CC7A5C" w:rsidRPr="00C425AA">
        <w:t xml:space="preserve">reputational damage, the </w:t>
      </w:r>
      <w:r w:rsidR="00841726" w:rsidRPr="00C425AA">
        <w:t>organization</w:t>
      </w:r>
      <w:r w:rsidR="00CC7A5C" w:rsidRPr="00C425AA">
        <w:t xml:space="preserve"> would decide to avoid further risk by </w:t>
      </w:r>
      <w:r w:rsidR="008E3DB2" w:rsidRPr="00C425AA">
        <w:t xml:space="preserve">terminating contact with the fraudulent supplier. It can </w:t>
      </w:r>
      <w:r w:rsidR="008E3DB2" w:rsidRPr="00C372FE">
        <w:rPr>
          <w:noProof/>
        </w:rPr>
        <w:t>be observed</w:t>
      </w:r>
      <w:r w:rsidR="008E3DB2" w:rsidRPr="00C425AA">
        <w:t xml:space="preserve"> that firms are at liberty of cutting association with unethical suppliers</w:t>
      </w:r>
      <w:r w:rsidR="00DF2632" w:rsidRPr="00C425AA">
        <w:t xml:space="preserve"> </w:t>
      </w:r>
      <w:r w:rsidR="00032F4D" w:rsidRPr="00C425AA">
        <w:t xml:space="preserve">to avoid further damage to the firm’s reputation by associating with the unethical supplier. For example, </w:t>
      </w:r>
      <w:r w:rsidR="00643152" w:rsidRPr="00C425AA">
        <w:t xml:space="preserve">Yun, Pakiam, and Listiyorini (2013), cited by </w:t>
      </w:r>
      <w:r w:rsidR="00A43412" w:rsidRPr="00C425AA">
        <w:t>Hajmohammad and Vachon (2016)</w:t>
      </w:r>
      <w:r w:rsidR="00D94D9B" w:rsidRPr="00C425AA">
        <w:t xml:space="preserve"> aver that </w:t>
      </w:r>
      <w:r w:rsidR="00C82165" w:rsidRPr="00C425AA">
        <w:t xml:space="preserve">Wilmar International Ltd, a prominent </w:t>
      </w:r>
      <w:r w:rsidR="00D436F7" w:rsidRPr="00C425AA">
        <w:t xml:space="preserve">trader in palm oil, </w:t>
      </w:r>
      <w:r w:rsidR="000D558E" w:rsidRPr="00C425AA">
        <w:t xml:space="preserve">terminated its association with its suppliers in Indonesia after it emerged that the suppliers were using illegal fires to </w:t>
      </w:r>
      <w:r w:rsidR="00CF7570" w:rsidRPr="00C425AA">
        <w:t xml:space="preserve">clear cultivation land. </w:t>
      </w:r>
      <w:r w:rsidR="006974FF" w:rsidRPr="00C425AA">
        <w:t xml:space="preserve">This action was necessary because the suppliers were unethical and any continued </w:t>
      </w:r>
      <w:r w:rsidR="008D5366" w:rsidRPr="00C425AA">
        <w:t xml:space="preserve">association would damage the firm’s reputation leading to losses. </w:t>
      </w:r>
    </w:p>
    <w:p w:rsidR="005008AF" w:rsidRPr="00C425AA" w:rsidRDefault="005458B7" w:rsidP="008E5DBC">
      <w:pPr>
        <w:spacing w:line="480" w:lineRule="auto"/>
        <w:contextualSpacing/>
        <w:rPr>
          <w:i/>
        </w:rPr>
      </w:pPr>
      <w:r w:rsidRPr="00C425AA">
        <w:lastRenderedPageBreak/>
        <w:t>The s</w:t>
      </w:r>
      <w:r w:rsidR="005008AF" w:rsidRPr="00C425AA">
        <w:t>crutinizing-based risk alleviation</w:t>
      </w:r>
      <w:r w:rsidR="00065AC5" w:rsidRPr="00C425AA">
        <w:rPr>
          <w:i/>
        </w:rPr>
        <w:t xml:space="preserve"> </w:t>
      </w:r>
      <w:r w:rsidR="00544CDB" w:rsidRPr="00C425AA">
        <w:t xml:space="preserve">strategy focuses on evaluating </w:t>
      </w:r>
      <w:r w:rsidR="00106688" w:rsidRPr="00C425AA">
        <w:t xml:space="preserve">suppliers’ </w:t>
      </w:r>
      <w:r w:rsidR="007B69B4" w:rsidRPr="00C425AA">
        <w:t>actual performance against</w:t>
      </w:r>
      <w:r w:rsidR="005E5FAC" w:rsidRPr="00C425AA">
        <w:t xml:space="preserve"> specific performance criteria to </w:t>
      </w:r>
      <w:r w:rsidR="00557BAD" w:rsidRPr="00C425AA">
        <w:t>authenticate</w:t>
      </w:r>
      <w:r w:rsidR="005E5FAC" w:rsidRPr="00C425AA">
        <w:t xml:space="preserve"> their </w:t>
      </w:r>
      <w:r w:rsidR="00557BAD" w:rsidRPr="00C425AA">
        <w:t>conformity</w:t>
      </w:r>
      <w:r w:rsidR="005E5FAC" w:rsidRPr="00C425AA">
        <w:t xml:space="preserve"> with the requirements. </w:t>
      </w:r>
    </w:p>
    <w:p w:rsidR="0017559A" w:rsidRPr="00C425AA" w:rsidRDefault="00FD16AE" w:rsidP="008E5DBC">
      <w:pPr>
        <w:spacing w:line="480" w:lineRule="auto"/>
        <w:contextualSpacing/>
      </w:pPr>
      <w:r w:rsidRPr="00C425AA">
        <w:t xml:space="preserve">  </w:t>
      </w:r>
      <w:r w:rsidR="004B1D02" w:rsidRPr="00C425AA">
        <w:t xml:space="preserve">Teamwork-based risk alleviation </w:t>
      </w:r>
      <w:r w:rsidR="00497FE7" w:rsidRPr="00C425AA">
        <w:t>involves the formulat</w:t>
      </w:r>
      <w:r w:rsidR="00100EC5" w:rsidRPr="00C425AA">
        <w:t>ion of partnerships to share knowledge</w:t>
      </w:r>
      <w:r w:rsidR="00497FE7" w:rsidRPr="00C425AA">
        <w:t xml:space="preserve"> and training programs with relevant experts o</w:t>
      </w:r>
      <w:r w:rsidR="004D1E75" w:rsidRPr="00C425AA">
        <w:t xml:space="preserve">n important issues such as </w:t>
      </w:r>
      <w:r w:rsidR="004D1E75" w:rsidRPr="005E5FE5">
        <w:rPr>
          <w:noProof/>
        </w:rPr>
        <w:t>supplie</w:t>
      </w:r>
      <w:r w:rsidR="005E5FE5">
        <w:rPr>
          <w:noProof/>
        </w:rPr>
        <w:t>r</w:t>
      </w:r>
      <w:r w:rsidR="004D1E75" w:rsidRPr="00C425AA">
        <w:t xml:space="preserve"> management. </w:t>
      </w:r>
    </w:p>
    <w:p w:rsidR="00310B88" w:rsidRPr="00C425AA" w:rsidRDefault="00BC3CE1" w:rsidP="008E5DBC">
      <w:pPr>
        <w:spacing w:line="480" w:lineRule="auto"/>
        <w:contextualSpacing/>
      </w:pPr>
      <w:r w:rsidRPr="00C425AA">
        <w:t>Acceptance of risk, according to Olson and Wu (2015),</w:t>
      </w:r>
      <w:r w:rsidR="00310B88" w:rsidRPr="00C425AA">
        <w:t xml:space="preserve"> can be termed as a proactive strategy by supply managers</w:t>
      </w:r>
      <w:r w:rsidR="00B210DA" w:rsidRPr="00C425AA">
        <w:t xml:space="preserve"> to retain the present risk by undertaking damage control budgeting. This strategy means that the managers </w:t>
      </w:r>
      <w:r w:rsidR="002D2360" w:rsidRPr="00C425AA">
        <w:t xml:space="preserve">are </w:t>
      </w:r>
      <w:r w:rsidR="00B210DA" w:rsidRPr="00C425AA">
        <w:t xml:space="preserve">ready to deal with any risk </w:t>
      </w:r>
      <w:r w:rsidR="00E25A51" w:rsidRPr="00C425AA">
        <w:t xml:space="preserve">when </w:t>
      </w:r>
      <w:r w:rsidR="00B210DA" w:rsidRPr="00C425AA">
        <w:t>take</w:t>
      </w:r>
      <w:r w:rsidR="00E25A51" w:rsidRPr="00C425AA">
        <w:t>s</w:t>
      </w:r>
      <w:r w:rsidR="00B210DA" w:rsidRPr="00C425AA">
        <w:t xml:space="preserve"> place</w:t>
      </w:r>
      <w:r w:rsidR="003A1586" w:rsidRPr="00C425AA">
        <w:t xml:space="preserve">. Hajmohammad and Vachon (2016) provide the case of </w:t>
      </w:r>
      <w:r w:rsidR="00565168" w:rsidRPr="00C425AA">
        <w:t>the oil spill involving BP</w:t>
      </w:r>
      <w:r w:rsidR="005E5FE5">
        <w:t>, which can is</w:t>
      </w:r>
      <w:r w:rsidR="000F3E2E" w:rsidRPr="00C425AA">
        <w:t xml:space="preserve"> an </w:t>
      </w:r>
      <w:r w:rsidR="00565168" w:rsidRPr="00C425AA">
        <w:t xml:space="preserve">example of risk acceptance whereby the firm had to take responsibility for the </w:t>
      </w:r>
      <w:r w:rsidR="00014BC0" w:rsidRPr="00C425AA">
        <w:t xml:space="preserve">accident. </w:t>
      </w:r>
    </w:p>
    <w:p w:rsidR="00014BC0" w:rsidRPr="00C425AA" w:rsidRDefault="005E5FE5" w:rsidP="008E5DBC">
      <w:pPr>
        <w:spacing w:line="480" w:lineRule="auto"/>
        <w:contextualSpacing/>
      </w:pPr>
      <w:r>
        <w:t xml:space="preserve">From these examples, </w:t>
      </w:r>
      <w:r w:rsidR="009133D2">
        <w:t>it is, thus, deduced</w:t>
      </w:r>
      <w:r w:rsidR="00014BC0" w:rsidRPr="00C425AA">
        <w:t xml:space="preserve"> that ethics and risk management are crucial </w:t>
      </w:r>
      <w:r w:rsidR="00984F99" w:rsidRPr="00C425AA">
        <w:t xml:space="preserve">in the attainment of sustainability. </w:t>
      </w:r>
      <w:r w:rsidR="00D37F5B" w:rsidRPr="00C425AA">
        <w:t>According to Michel et al. (2013), t</w:t>
      </w:r>
      <w:r w:rsidR="00893C56" w:rsidRPr="00C425AA">
        <w:t>he oil spill involving BP critically affected the environment</w:t>
      </w:r>
      <w:r w:rsidR="00D37F5B" w:rsidRPr="00C425AA">
        <w:t xml:space="preserve">, and this can be said to have affected the </w:t>
      </w:r>
      <w:r w:rsidR="006F39C9" w:rsidRPr="00C425AA">
        <w:t>e</w:t>
      </w:r>
      <w:r w:rsidR="00893C56" w:rsidRPr="00C425AA">
        <w:t xml:space="preserve">cological element of sustainability. Additionally, </w:t>
      </w:r>
      <w:r w:rsidR="00D37237" w:rsidRPr="00C425AA">
        <w:t xml:space="preserve">Michel et al. (2013) aver that </w:t>
      </w:r>
      <w:r w:rsidR="00A3389C" w:rsidRPr="00C425AA">
        <w:t>workers were also at risk because of the spill</w:t>
      </w:r>
      <w:r w:rsidR="00ED79B4" w:rsidRPr="00C425AA">
        <w:t xml:space="preserve"> and the societal element was also affected. Furthermore, the economic element was also affected because </w:t>
      </w:r>
      <w:r w:rsidR="00953BCC" w:rsidRPr="00C425AA">
        <w:t xml:space="preserve">according to Hajmohammad and Vachon (2016), </w:t>
      </w:r>
      <w:r w:rsidR="00ED79B4" w:rsidRPr="00C425AA">
        <w:t xml:space="preserve">BP had to </w:t>
      </w:r>
      <w:r w:rsidR="007352DC" w:rsidRPr="00C425AA">
        <w:t xml:space="preserve">incur heavy costs in fines, settlement costs, and clean up costs, which amounted to about $40 billion. </w:t>
      </w:r>
      <w:r w:rsidR="004539CF" w:rsidRPr="00C425AA">
        <w:t xml:space="preserve">Thus, </w:t>
      </w:r>
      <w:r w:rsidR="00801F10" w:rsidRPr="00C425AA">
        <w:t xml:space="preserve">a business can lose its sustainability goal if it lacks sufficient measures to prevent and control risks. It can also </w:t>
      </w:r>
      <w:r w:rsidR="00801F10" w:rsidRPr="00147351">
        <w:rPr>
          <w:noProof/>
        </w:rPr>
        <w:t>be observed</w:t>
      </w:r>
      <w:r w:rsidR="00801F10" w:rsidRPr="00C425AA">
        <w:t xml:space="preserve"> that risks may not </w:t>
      </w:r>
      <w:r w:rsidR="00801F10" w:rsidRPr="00147351">
        <w:rPr>
          <w:noProof/>
        </w:rPr>
        <w:t>necessar</w:t>
      </w:r>
      <w:r w:rsidR="00147351">
        <w:rPr>
          <w:noProof/>
        </w:rPr>
        <w:t>il</w:t>
      </w:r>
      <w:r w:rsidR="00801F10" w:rsidRPr="00147351">
        <w:rPr>
          <w:noProof/>
        </w:rPr>
        <w:t>y</w:t>
      </w:r>
      <w:r w:rsidR="00801F10" w:rsidRPr="00C425AA">
        <w:t xml:space="preserve"> emanate from the </w:t>
      </w:r>
      <w:r w:rsidR="00801F10" w:rsidRPr="00147351">
        <w:rPr>
          <w:noProof/>
        </w:rPr>
        <w:t>firm</w:t>
      </w:r>
      <w:r w:rsidR="00801F10" w:rsidRPr="00C425AA">
        <w:t xml:space="preserve"> but can also be from other stakeholders such as suppliers. </w:t>
      </w:r>
      <w:r w:rsidR="005A6BA2" w:rsidRPr="00C425AA">
        <w:t xml:space="preserve">Thus, a successful sustainability objective can </w:t>
      </w:r>
      <w:r w:rsidR="005A6BA2" w:rsidRPr="00147351">
        <w:rPr>
          <w:noProof/>
        </w:rPr>
        <w:t>be attained</w:t>
      </w:r>
      <w:r w:rsidR="005A6BA2" w:rsidRPr="00C425AA">
        <w:t xml:space="preserve"> if stakeholders are also involved. </w:t>
      </w:r>
      <w:r w:rsidR="005F5B0B">
        <w:t xml:space="preserve">Therefore, risk management is paramount for a successful sustainability process. </w:t>
      </w:r>
    </w:p>
    <w:p w:rsidR="00B02359" w:rsidRPr="00C425AA" w:rsidRDefault="00B02359" w:rsidP="008E5DBC">
      <w:pPr>
        <w:spacing w:line="480" w:lineRule="auto"/>
        <w:contextualSpacing/>
      </w:pPr>
    </w:p>
    <w:p w:rsidR="009C7A9D" w:rsidRPr="009A297B" w:rsidRDefault="00CD2C6D" w:rsidP="008E5DBC">
      <w:pPr>
        <w:spacing w:line="480" w:lineRule="auto"/>
        <w:contextualSpacing/>
        <w:rPr>
          <w:b/>
        </w:rPr>
      </w:pPr>
      <w:r w:rsidRPr="009A297B">
        <w:rPr>
          <w:b/>
        </w:rPr>
        <w:lastRenderedPageBreak/>
        <w:t>References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Becker, S. O. </w:t>
      </w:r>
      <w:r w:rsidRPr="00351CE2">
        <w:rPr>
          <w:noProof/>
        </w:rPr>
        <w:t>and</w:t>
      </w:r>
      <w:r w:rsidRPr="00C425AA">
        <w:t xml:space="preserve"> Egger, P. H. (2013). Endogenous product versus process innovation and a firm’s propensity to export. </w:t>
      </w:r>
      <w:r w:rsidRPr="00C425AA">
        <w:rPr>
          <w:i/>
        </w:rPr>
        <w:t>Empirical Economics</w:t>
      </w:r>
      <w:r w:rsidRPr="00C425AA">
        <w:t>, 44(1), pp. 329-354.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Boons, F. Montalvo, C. Quist, J. and Wagner, M. (2013). Sustainable innovation, business models and economic performance: an overview. </w:t>
      </w:r>
      <w:r w:rsidRPr="00C425AA">
        <w:rPr>
          <w:i/>
        </w:rPr>
        <w:t>Journal of Cleaner Production</w:t>
      </w:r>
      <w:r w:rsidRPr="00C425AA">
        <w:t>, 45(), pp. 1-8.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Browne, J. and Nutall, R. (2013). </w:t>
      </w:r>
      <w:r w:rsidRPr="00C425AA">
        <w:rPr>
          <w:i/>
        </w:rPr>
        <w:t>Beyond corporate social responsibility: Integrated external engagement</w:t>
      </w:r>
      <w:r w:rsidRPr="00C425AA">
        <w:t xml:space="preserve"> [pdf], McKinsey &amp; Company. Available at: </w:t>
      </w:r>
      <w:hyperlink r:id="rId6" w:history="1">
        <w:r w:rsidRPr="00C425AA">
          <w:rPr>
            <w:rStyle w:val="Hyperlink"/>
            <w:color w:val="auto"/>
          </w:rPr>
          <w:t>http://www.dse.univr.it/documenti/OccorrenzaIns/matdid/matdid320082.pdf</w:t>
        </w:r>
      </w:hyperlink>
      <w:r w:rsidRPr="00C425AA">
        <w:t xml:space="preserve"> [Accessed 06 Oct. 2018].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Goodman, J. and Arenas, D. (2015). Engaging ethically: A discourse ethics perspective on social shareholder engagement. </w:t>
      </w:r>
      <w:r w:rsidRPr="00C425AA">
        <w:rPr>
          <w:i/>
        </w:rPr>
        <w:t xml:space="preserve">Business Ethics Quarterly, </w:t>
      </w:r>
      <w:r w:rsidRPr="00C425AA">
        <w:t>25(2), pp. 163-189.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Hajmohammad, S. and Vachon, S. (2016). Mitigation, avoidance, or acceptance? </w:t>
      </w:r>
      <w:r w:rsidRPr="00351CE2">
        <w:rPr>
          <w:noProof/>
        </w:rPr>
        <w:t>Managing supplier sustainability risk.</w:t>
      </w:r>
      <w:r w:rsidRPr="00C425AA">
        <w:t xml:space="preserve"> </w:t>
      </w:r>
      <w:r w:rsidRPr="00C425AA">
        <w:rPr>
          <w:i/>
        </w:rPr>
        <w:t xml:space="preserve">Journal of Supply Chain Management, </w:t>
      </w:r>
      <w:r w:rsidRPr="00C425AA">
        <w:t>52(2), pp. 48-65.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Lamperti, F. Mavilia, R. and Castellini, S. (2017). The role of Science Parks: a puzzle of growth, innovation and R&amp;D investments. </w:t>
      </w:r>
      <w:r w:rsidRPr="00C425AA">
        <w:rPr>
          <w:i/>
        </w:rPr>
        <w:t>The Journal of Technology Transfer</w:t>
      </w:r>
      <w:r w:rsidRPr="00C425AA">
        <w:t xml:space="preserve">, 42(1), pp. 158-183. 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Michel et al. (2013). Extent and Degree of Shoreline Oiling: Deepwater Horizon Oil Spill, Gulf of Mexico, USA. </w:t>
      </w:r>
      <w:r w:rsidRPr="00C425AA">
        <w:rPr>
          <w:i/>
        </w:rPr>
        <w:t>PLOS One</w:t>
      </w:r>
      <w:r w:rsidRPr="00C425AA">
        <w:t xml:space="preserve">, [online]. Available at: </w:t>
      </w:r>
      <w:hyperlink r:id="rId7" w:history="1">
        <w:r w:rsidRPr="00C425AA">
          <w:rPr>
            <w:rStyle w:val="Hyperlink"/>
            <w:color w:val="auto"/>
          </w:rPr>
          <w:t>https://journals.plos.org/plosone/article?id=10.1371/journal.pone.0065087</w:t>
        </w:r>
      </w:hyperlink>
      <w:r w:rsidRPr="00C425AA">
        <w:t xml:space="preserve"> [Accessed 06 Oct. 2018].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t xml:space="preserve">Olson, D. L. </w:t>
      </w:r>
      <w:r w:rsidRPr="00351CE2">
        <w:rPr>
          <w:noProof/>
        </w:rPr>
        <w:t>and</w:t>
      </w:r>
      <w:r w:rsidRPr="00C425AA">
        <w:t xml:space="preserve"> Wu, D. D. (2015). </w:t>
      </w:r>
      <w:r w:rsidRPr="00C425AA">
        <w:rPr>
          <w:i/>
        </w:rPr>
        <w:t>Enterprise risk management</w:t>
      </w:r>
      <w:r w:rsidRPr="00C425AA">
        <w:t xml:space="preserve">. 2nd ed. New Jersey: World Scientific Publishing Co. </w:t>
      </w:r>
    </w:p>
    <w:p w:rsidR="009C7A9D" w:rsidRPr="00C425AA" w:rsidRDefault="009C7A9D" w:rsidP="008E5DBC">
      <w:pPr>
        <w:spacing w:line="480" w:lineRule="auto"/>
        <w:contextualSpacing/>
      </w:pPr>
      <w:r w:rsidRPr="00C425AA">
        <w:lastRenderedPageBreak/>
        <w:t xml:space="preserve">Schaltegeer, S. Ludeke-Fruend, F. and Hansen, E. G. (2012). Business cases for sustainability: the role of business model innovation for corporate sustainability. </w:t>
      </w:r>
      <w:r w:rsidRPr="00C425AA">
        <w:rPr>
          <w:i/>
        </w:rPr>
        <w:t xml:space="preserve">International Journal of Innovation and Sustainable Development, </w:t>
      </w:r>
      <w:r w:rsidRPr="00C425AA">
        <w:t>6(2) pp. 95-119.</w:t>
      </w:r>
    </w:p>
    <w:sectPr w:rsidR="009C7A9D" w:rsidRPr="00C425AA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426" w:rsidRDefault="00901426" w:rsidP="00945D27">
      <w:pPr>
        <w:spacing w:after="0" w:line="240" w:lineRule="auto"/>
      </w:pPr>
      <w:r>
        <w:separator/>
      </w:r>
    </w:p>
  </w:endnote>
  <w:endnote w:type="continuationSeparator" w:id="1">
    <w:p w:rsidR="00901426" w:rsidRDefault="00901426" w:rsidP="0094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426" w:rsidRDefault="00901426" w:rsidP="00945D27">
      <w:pPr>
        <w:spacing w:after="0" w:line="240" w:lineRule="auto"/>
      </w:pPr>
      <w:r>
        <w:separator/>
      </w:r>
    </w:p>
  </w:footnote>
  <w:footnote w:type="continuationSeparator" w:id="1">
    <w:p w:rsidR="00901426" w:rsidRDefault="00901426" w:rsidP="0094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20488"/>
      <w:docPartObj>
        <w:docPartGallery w:val="Page Numbers (Top of Page)"/>
        <w:docPartUnique/>
      </w:docPartObj>
    </w:sdtPr>
    <w:sdtContent>
      <w:p w:rsidR="001470E4" w:rsidRDefault="00327A72" w:rsidP="00BD39BF">
        <w:pPr>
          <w:pStyle w:val="Header"/>
          <w:jc w:val="right"/>
        </w:pPr>
        <w:fldSimple w:instr=" PAGE   \* MERGEFORMAT ">
          <w:r w:rsidR="00D576CF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DY2NDO3NDIxNjczMjdW0lEKTi0uzszPAykwrAUAOG2+sywAAAA="/>
  </w:docVars>
  <w:rsids>
    <w:rsidRoot w:val="00E24EDC"/>
    <w:rsid w:val="000028ED"/>
    <w:rsid w:val="00007F30"/>
    <w:rsid w:val="00010A30"/>
    <w:rsid w:val="00014BC0"/>
    <w:rsid w:val="000267D0"/>
    <w:rsid w:val="0002686F"/>
    <w:rsid w:val="0003296F"/>
    <w:rsid w:val="00032F4D"/>
    <w:rsid w:val="00046912"/>
    <w:rsid w:val="00050E51"/>
    <w:rsid w:val="00065AC5"/>
    <w:rsid w:val="00084620"/>
    <w:rsid w:val="0009175B"/>
    <w:rsid w:val="0009487D"/>
    <w:rsid w:val="00096417"/>
    <w:rsid w:val="00097DA5"/>
    <w:rsid w:val="000A0216"/>
    <w:rsid w:val="000C11C2"/>
    <w:rsid w:val="000C28F8"/>
    <w:rsid w:val="000C61B6"/>
    <w:rsid w:val="000D558E"/>
    <w:rsid w:val="000E07BD"/>
    <w:rsid w:val="000E4409"/>
    <w:rsid w:val="000F3E2E"/>
    <w:rsid w:val="00100EC5"/>
    <w:rsid w:val="00101E5D"/>
    <w:rsid w:val="00106688"/>
    <w:rsid w:val="0011503F"/>
    <w:rsid w:val="0012766E"/>
    <w:rsid w:val="0012781C"/>
    <w:rsid w:val="001470E4"/>
    <w:rsid w:val="00147351"/>
    <w:rsid w:val="00153718"/>
    <w:rsid w:val="00156035"/>
    <w:rsid w:val="0017559A"/>
    <w:rsid w:val="001918C0"/>
    <w:rsid w:val="001A0505"/>
    <w:rsid w:val="001A47AF"/>
    <w:rsid w:val="001B7CB1"/>
    <w:rsid w:val="001D5E41"/>
    <w:rsid w:val="00246E11"/>
    <w:rsid w:val="00257CCB"/>
    <w:rsid w:val="00262727"/>
    <w:rsid w:val="00276B5B"/>
    <w:rsid w:val="002954C2"/>
    <w:rsid w:val="002A10B4"/>
    <w:rsid w:val="002A1BA0"/>
    <w:rsid w:val="002A70A2"/>
    <w:rsid w:val="002C1CC9"/>
    <w:rsid w:val="002D2360"/>
    <w:rsid w:val="002E4A1C"/>
    <w:rsid w:val="002F6B71"/>
    <w:rsid w:val="0030035C"/>
    <w:rsid w:val="00300C51"/>
    <w:rsid w:val="00304E9B"/>
    <w:rsid w:val="00310B88"/>
    <w:rsid w:val="00321AC4"/>
    <w:rsid w:val="00324134"/>
    <w:rsid w:val="00325B4B"/>
    <w:rsid w:val="00327A72"/>
    <w:rsid w:val="00345859"/>
    <w:rsid w:val="00351CE2"/>
    <w:rsid w:val="0037094B"/>
    <w:rsid w:val="00382B35"/>
    <w:rsid w:val="00390BD8"/>
    <w:rsid w:val="0039788F"/>
    <w:rsid w:val="003A1586"/>
    <w:rsid w:val="003A7E04"/>
    <w:rsid w:val="00427D3E"/>
    <w:rsid w:val="004539CF"/>
    <w:rsid w:val="004737BD"/>
    <w:rsid w:val="0048075F"/>
    <w:rsid w:val="00481338"/>
    <w:rsid w:val="00485F28"/>
    <w:rsid w:val="00497FE7"/>
    <w:rsid w:val="004B1D02"/>
    <w:rsid w:val="004B4D86"/>
    <w:rsid w:val="004D1E75"/>
    <w:rsid w:val="004D27ED"/>
    <w:rsid w:val="004D63AF"/>
    <w:rsid w:val="004E431A"/>
    <w:rsid w:val="004F4742"/>
    <w:rsid w:val="004F5E06"/>
    <w:rsid w:val="005008AF"/>
    <w:rsid w:val="005068AE"/>
    <w:rsid w:val="00544CDB"/>
    <w:rsid w:val="005458B7"/>
    <w:rsid w:val="00552834"/>
    <w:rsid w:val="0055668A"/>
    <w:rsid w:val="00557BAD"/>
    <w:rsid w:val="00565168"/>
    <w:rsid w:val="00566D5C"/>
    <w:rsid w:val="005807F9"/>
    <w:rsid w:val="00585C9D"/>
    <w:rsid w:val="00586B6E"/>
    <w:rsid w:val="005A6BA2"/>
    <w:rsid w:val="005B1157"/>
    <w:rsid w:val="005D087B"/>
    <w:rsid w:val="005E06DB"/>
    <w:rsid w:val="005E5FAC"/>
    <w:rsid w:val="005E5FE5"/>
    <w:rsid w:val="005F5B0B"/>
    <w:rsid w:val="00607657"/>
    <w:rsid w:val="0061180E"/>
    <w:rsid w:val="006230E9"/>
    <w:rsid w:val="00641971"/>
    <w:rsid w:val="00643152"/>
    <w:rsid w:val="006625A6"/>
    <w:rsid w:val="0066404B"/>
    <w:rsid w:val="0067644A"/>
    <w:rsid w:val="006923CC"/>
    <w:rsid w:val="006944FE"/>
    <w:rsid w:val="006974FF"/>
    <w:rsid w:val="006E4798"/>
    <w:rsid w:val="006E7D61"/>
    <w:rsid w:val="006F39C9"/>
    <w:rsid w:val="00701D72"/>
    <w:rsid w:val="00710543"/>
    <w:rsid w:val="00713E8A"/>
    <w:rsid w:val="00716B57"/>
    <w:rsid w:val="007352DC"/>
    <w:rsid w:val="007362C4"/>
    <w:rsid w:val="00777146"/>
    <w:rsid w:val="0077747F"/>
    <w:rsid w:val="0078203E"/>
    <w:rsid w:val="00786452"/>
    <w:rsid w:val="00787152"/>
    <w:rsid w:val="00793527"/>
    <w:rsid w:val="00796083"/>
    <w:rsid w:val="007A4E83"/>
    <w:rsid w:val="007B4BC4"/>
    <w:rsid w:val="007B69B4"/>
    <w:rsid w:val="007E2D3F"/>
    <w:rsid w:val="007E60CA"/>
    <w:rsid w:val="00801F10"/>
    <w:rsid w:val="00807C7D"/>
    <w:rsid w:val="00812C2A"/>
    <w:rsid w:val="008253DB"/>
    <w:rsid w:val="0082639E"/>
    <w:rsid w:val="00834E8E"/>
    <w:rsid w:val="00841726"/>
    <w:rsid w:val="00847FD6"/>
    <w:rsid w:val="00854D89"/>
    <w:rsid w:val="00864B73"/>
    <w:rsid w:val="0088072B"/>
    <w:rsid w:val="008814EC"/>
    <w:rsid w:val="008833E7"/>
    <w:rsid w:val="00887541"/>
    <w:rsid w:val="0089100C"/>
    <w:rsid w:val="008932D1"/>
    <w:rsid w:val="00893C56"/>
    <w:rsid w:val="008D5366"/>
    <w:rsid w:val="008D54E4"/>
    <w:rsid w:val="008D5ED7"/>
    <w:rsid w:val="008E3DB2"/>
    <w:rsid w:val="008E5DBC"/>
    <w:rsid w:val="00901426"/>
    <w:rsid w:val="00912381"/>
    <w:rsid w:val="009133D2"/>
    <w:rsid w:val="00921214"/>
    <w:rsid w:val="009263FC"/>
    <w:rsid w:val="009327AD"/>
    <w:rsid w:val="00945D27"/>
    <w:rsid w:val="00951133"/>
    <w:rsid w:val="00953BCC"/>
    <w:rsid w:val="0097668A"/>
    <w:rsid w:val="0097794C"/>
    <w:rsid w:val="00984F99"/>
    <w:rsid w:val="00987F3D"/>
    <w:rsid w:val="009A297B"/>
    <w:rsid w:val="009C2AD2"/>
    <w:rsid w:val="009C7A9D"/>
    <w:rsid w:val="009D259E"/>
    <w:rsid w:val="009E3792"/>
    <w:rsid w:val="009F0516"/>
    <w:rsid w:val="009F389E"/>
    <w:rsid w:val="00A11201"/>
    <w:rsid w:val="00A30A86"/>
    <w:rsid w:val="00A3389C"/>
    <w:rsid w:val="00A43412"/>
    <w:rsid w:val="00A453AC"/>
    <w:rsid w:val="00A52923"/>
    <w:rsid w:val="00A56A0D"/>
    <w:rsid w:val="00A83FC1"/>
    <w:rsid w:val="00A8500F"/>
    <w:rsid w:val="00A86035"/>
    <w:rsid w:val="00A93B4B"/>
    <w:rsid w:val="00AA1755"/>
    <w:rsid w:val="00AB22B8"/>
    <w:rsid w:val="00AC65C2"/>
    <w:rsid w:val="00AD07EE"/>
    <w:rsid w:val="00AE0A89"/>
    <w:rsid w:val="00AE12CB"/>
    <w:rsid w:val="00AE16DF"/>
    <w:rsid w:val="00B02359"/>
    <w:rsid w:val="00B06017"/>
    <w:rsid w:val="00B07B1F"/>
    <w:rsid w:val="00B107D7"/>
    <w:rsid w:val="00B210DA"/>
    <w:rsid w:val="00B37238"/>
    <w:rsid w:val="00B37807"/>
    <w:rsid w:val="00B421FD"/>
    <w:rsid w:val="00B44E12"/>
    <w:rsid w:val="00B643BC"/>
    <w:rsid w:val="00B762E5"/>
    <w:rsid w:val="00B85C5A"/>
    <w:rsid w:val="00BC3CE1"/>
    <w:rsid w:val="00BD39BF"/>
    <w:rsid w:val="00BE277D"/>
    <w:rsid w:val="00BE47D6"/>
    <w:rsid w:val="00BF5DF8"/>
    <w:rsid w:val="00C00C10"/>
    <w:rsid w:val="00C041E2"/>
    <w:rsid w:val="00C05E44"/>
    <w:rsid w:val="00C324F1"/>
    <w:rsid w:val="00C36C5C"/>
    <w:rsid w:val="00C372FE"/>
    <w:rsid w:val="00C41C0E"/>
    <w:rsid w:val="00C425AA"/>
    <w:rsid w:val="00C4486B"/>
    <w:rsid w:val="00C516DD"/>
    <w:rsid w:val="00C7175B"/>
    <w:rsid w:val="00C82165"/>
    <w:rsid w:val="00C85378"/>
    <w:rsid w:val="00C91399"/>
    <w:rsid w:val="00C96521"/>
    <w:rsid w:val="00CA7BA4"/>
    <w:rsid w:val="00CB2640"/>
    <w:rsid w:val="00CC760C"/>
    <w:rsid w:val="00CC7A5C"/>
    <w:rsid w:val="00CD2C6D"/>
    <w:rsid w:val="00CD67CB"/>
    <w:rsid w:val="00CF0DDC"/>
    <w:rsid w:val="00CF7570"/>
    <w:rsid w:val="00D3030E"/>
    <w:rsid w:val="00D37237"/>
    <w:rsid w:val="00D37F5B"/>
    <w:rsid w:val="00D436F7"/>
    <w:rsid w:val="00D459F5"/>
    <w:rsid w:val="00D576CF"/>
    <w:rsid w:val="00D60A22"/>
    <w:rsid w:val="00D94D9B"/>
    <w:rsid w:val="00DB7116"/>
    <w:rsid w:val="00DC7F7E"/>
    <w:rsid w:val="00DD0F5B"/>
    <w:rsid w:val="00DE15A4"/>
    <w:rsid w:val="00DE5EA8"/>
    <w:rsid w:val="00DF2632"/>
    <w:rsid w:val="00DF6E50"/>
    <w:rsid w:val="00E07BED"/>
    <w:rsid w:val="00E24EDC"/>
    <w:rsid w:val="00E25A51"/>
    <w:rsid w:val="00E66692"/>
    <w:rsid w:val="00EA1358"/>
    <w:rsid w:val="00EA7019"/>
    <w:rsid w:val="00EB0177"/>
    <w:rsid w:val="00EB3972"/>
    <w:rsid w:val="00EC1550"/>
    <w:rsid w:val="00EC42BF"/>
    <w:rsid w:val="00ED381A"/>
    <w:rsid w:val="00ED3A2A"/>
    <w:rsid w:val="00ED79B4"/>
    <w:rsid w:val="00F036FE"/>
    <w:rsid w:val="00F06858"/>
    <w:rsid w:val="00F4424E"/>
    <w:rsid w:val="00F53553"/>
    <w:rsid w:val="00F54227"/>
    <w:rsid w:val="00F56F51"/>
    <w:rsid w:val="00F5702F"/>
    <w:rsid w:val="00F64B48"/>
    <w:rsid w:val="00F67045"/>
    <w:rsid w:val="00F6752D"/>
    <w:rsid w:val="00F7179A"/>
    <w:rsid w:val="00F905D2"/>
    <w:rsid w:val="00F90A97"/>
    <w:rsid w:val="00F911D3"/>
    <w:rsid w:val="00FA12A0"/>
    <w:rsid w:val="00FA1F39"/>
    <w:rsid w:val="00FB2700"/>
    <w:rsid w:val="00FD16AE"/>
    <w:rsid w:val="00FD5462"/>
    <w:rsid w:val="00FE10E8"/>
    <w:rsid w:val="00FE3275"/>
    <w:rsid w:val="00FE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27"/>
  </w:style>
  <w:style w:type="paragraph" w:styleId="Footer">
    <w:name w:val="footer"/>
    <w:basedOn w:val="Normal"/>
    <w:link w:val="FooterChar"/>
    <w:uiPriority w:val="99"/>
    <w:semiHidden/>
    <w:unhideWhenUsed/>
    <w:rsid w:val="0094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D27"/>
  </w:style>
  <w:style w:type="character" w:styleId="Hyperlink">
    <w:name w:val="Hyperlink"/>
    <w:basedOn w:val="DefaultParagraphFont"/>
    <w:uiPriority w:val="99"/>
    <w:unhideWhenUsed/>
    <w:rsid w:val="000E44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ournals.plos.org/plosone/article?id=10.1371/journal.pone.00650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e.univr.it/documenti/OccorrenzaIns/matdid/matdid32008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255</cp:revision>
  <dcterms:created xsi:type="dcterms:W3CDTF">2018-10-05T18:12:00Z</dcterms:created>
  <dcterms:modified xsi:type="dcterms:W3CDTF">2018-10-06T16:57:00Z</dcterms:modified>
</cp:coreProperties>
</file>