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5F" w:rsidRDefault="00175F5F"/>
    <w:p w:rsidR="007128CE" w:rsidRDefault="007128CE"/>
    <w:p w:rsidR="007128CE" w:rsidRDefault="007128CE"/>
    <w:p w:rsidR="007128CE" w:rsidRDefault="007128CE"/>
    <w:p w:rsidR="007128CE" w:rsidRDefault="007128CE">
      <w:r>
        <w:t xml:space="preserve">  </w:t>
      </w:r>
    </w:p>
    <w:p w:rsidR="007128CE" w:rsidRDefault="007128CE"/>
    <w:p w:rsidR="007128CE" w:rsidRDefault="007128CE"/>
    <w:p w:rsidR="007128CE" w:rsidRDefault="007128CE"/>
    <w:p w:rsidR="007128CE" w:rsidRDefault="007128CE" w:rsidP="007128CE">
      <w:pPr>
        <w:jc w:val="center"/>
      </w:pPr>
    </w:p>
    <w:p w:rsidR="007128CE" w:rsidRPr="007128CE" w:rsidRDefault="007128CE" w:rsidP="007128CE">
      <w:pPr>
        <w:jc w:val="center"/>
        <w:rPr>
          <w:rFonts w:ascii="Times New Roman" w:hAnsi="Times New Roman" w:cs="Times New Roman"/>
          <w:sz w:val="24"/>
          <w:szCs w:val="24"/>
        </w:rPr>
      </w:pP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nau Ora</w:t>
      </w:r>
    </w:p>
    <w:p w:rsidR="007128CE" w:rsidRPr="00434F89" w:rsidRDefault="007128CE" w:rsidP="007128C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128CE" w:rsidRDefault="007128CE" w:rsidP="007128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7128CE">
      <w:pPr>
        <w:jc w:val="center"/>
      </w:pPr>
    </w:p>
    <w:p w:rsidR="007128CE" w:rsidRDefault="007128CE" w:rsidP="00C3312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Wh</w:t>
      </w:r>
      <w:r w:rsidRPr="007128CE">
        <w:rPr>
          <w:rFonts w:ascii="Times New Roman" w:hAnsi="Times New Roman" w:cs="Times New Roman"/>
          <w:sz w:val="24"/>
          <w:szCs w:val="24"/>
          <w:lang w:val="en-NZ"/>
        </w:rPr>
        <w:t>ā</w:t>
      </w:r>
      <w:r>
        <w:rPr>
          <w:rFonts w:ascii="Times New Roman" w:hAnsi="Times New Roman" w:cs="Times New Roman"/>
          <w:sz w:val="24"/>
          <w:szCs w:val="24"/>
        </w:rPr>
        <w:t>nau Ora</w:t>
      </w:r>
    </w:p>
    <w:p w:rsidR="00C33125" w:rsidRDefault="007345E1" w:rsidP="00C33125">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Whānau Ora may not be a new concept to the Maori people, but its application and integration to related services and social policies are relatively new. The core concept in Whānau Ora is the family well-being to enable them to achieve their aspirations in life. Particularly, Whānau plays a vital role in Maori well-being both individually and collectively through security, strength, support, and identity. Its primary aim is to increase Whānau health through the participation of exercise, higher education and financial literacy hence it is Whānau centered. It, therefore, has a significant difference from the traditional health and social approaches that solely focus on individuals. In most cases, terms such as Whānau centered </w:t>
      </w:r>
      <w:r w:rsidR="00186F92">
        <w:rPr>
          <w:rFonts w:ascii="Times New Roman" w:hAnsi="Times New Roman" w:cs="Times New Roman"/>
          <w:sz w:val="24"/>
          <w:szCs w:val="24"/>
        </w:rPr>
        <w:t>approach is</w:t>
      </w:r>
      <w:r w:rsidRPr="001538C5">
        <w:rPr>
          <w:rFonts w:ascii="Times New Roman" w:hAnsi="Times New Roman" w:cs="Times New Roman"/>
          <w:sz w:val="24"/>
          <w:szCs w:val="24"/>
        </w:rPr>
        <w:t xml:space="preserve"> used to refer to a </w:t>
      </w:r>
      <w:r w:rsidR="00186F92">
        <w:rPr>
          <w:rFonts w:ascii="Times New Roman" w:hAnsi="Times New Roman" w:cs="Times New Roman"/>
          <w:sz w:val="24"/>
          <w:szCs w:val="24"/>
        </w:rPr>
        <w:t>holistic</w:t>
      </w:r>
      <w:r w:rsidRPr="001538C5">
        <w:rPr>
          <w:rFonts w:ascii="Times New Roman" w:hAnsi="Times New Roman" w:cs="Times New Roman"/>
          <w:sz w:val="24"/>
          <w:szCs w:val="24"/>
        </w:rPr>
        <w:t xml:space="preserve"> approach that mostly focuses on improving the well-being of Whānau as a group and the individuals. Therefore, we can infer that Whānau Ora is a practice that focuses on achieving Whānau health.</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Whānau Ora achieves this by applying an innovative approach where the Whānau is at the epicenter of decision-making. The Whānau are also assisted when it comes to identifying their goals and objectives when it comes to building the capacity to achieve them and improve their lives. Other characteristics in the Whānau include developing a competent and skilled workforce that adopts a Whānau centered approach in support of the Whānau ambitions or goals, establishing long-term relationships between the Whānau and service providers as well as the government and service providers. Also, making services accessible and integrating them with the Whānau needs and aspirations. While these characteristics give a glimpse of what Whānau Ora is about, they are not enough to comprehend the entire concept from its foundation to its initiative and implementation. Thus, an analysis of its origin is necessary.</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lastRenderedPageBreak/>
        <w:t>Origin of Whānau Ora</w:t>
      </w:r>
    </w:p>
    <w:p w:rsidR="001538C5" w:rsidRPr="001538C5" w:rsidRDefault="00374959" w:rsidP="001538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2002, </w:t>
      </w:r>
      <w:r w:rsidR="001538C5" w:rsidRPr="001538C5">
        <w:rPr>
          <w:rFonts w:ascii="Times New Roman" w:hAnsi="Times New Roman" w:cs="Times New Roman"/>
          <w:sz w:val="24"/>
          <w:szCs w:val="24"/>
        </w:rPr>
        <w:t>the Health Minister</w:t>
      </w:r>
      <w:r>
        <w:rPr>
          <w:rFonts w:ascii="Times New Roman" w:hAnsi="Times New Roman" w:cs="Times New Roman"/>
          <w:sz w:val="24"/>
          <w:szCs w:val="24"/>
        </w:rPr>
        <w:t xml:space="preserve"> published the strategy for Maori health</w:t>
      </w:r>
      <w:r w:rsidR="001538C5" w:rsidRPr="001538C5">
        <w:rPr>
          <w:rFonts w:ascii="Times New Roman" w:hAnsi="Times New Roman" w:cs="Times New Roman"/>
          <w:sz w:val="24"/>
          <w:szCs w:val="24"/>
        </w:rPr>
        <w:t xml:space="preserve"> and Whānau Ora became part of the government policy. The strategy indicated that to achieve Whānau Ora, an approach that recognized and build on the Whānau</w:t>
      </w:r>
      <w:r w:rsidR="003305DF">
        <w:rPr>
          <w:rFonts w:ascii="Times New Roman" w:hAnsi="Times New Roman" w:cs="Times New Roman"/>
          <w:sz w:val="24"/>
          <w:szCs w:val="24"/>
        </w:rPr>
        <w:t>’s strengths</w:t>
      </w:r>
      <w:r w:rsidR="001538C5" w:rsidRPr="001538C5">
        <w:rPr>
          <w:rFonts w:ascii="Times New Roman" w:hAnsi="Times New Roman" w:cs="Times New Roman"/>
          <w:sz w:val="24"/>
          <w:szCs w:val="24"/>
        </w:rPr>
        <w:t xml:space="preserve"> to encourage development was required. However, seven years later, the government realized that the strategies were not serving the Maori families well hence there was the need to formulate other approaches or strategies that would serve them well</w:t>
      </w:r>
      <w:r w:rsidR="005B3DCB">
        <w:rPr>
          <w:rFonts w:ascii="Times New Roman" w:hAnsi="Times New Roman" w:cs="Times New Roman"/>
          <w:sz w:val="24"/>
          <w:szCs w:val="24"/>
        </w:rPr>
        <w:t xml:space="preserve"> (</w:t>
      </w:r>
      <w:r w:rsidR="005B3DCB">
        <w:rPr>
          <w:rFonts w:ascii="Times New Roman" w:hAnsi="Times New Roman" w:cs="Times New Roman"/>
          <w:color w:val="000000"/>
          <w:sz w:val="24"/>
          <w:szCs w:val="24"/>
          <w:shd w:val="clear" w:color="auto" w:fill="FFFFFF"/>
        </w:rPr>
        <w:t>Te Puni Kōkiri, 2016)</w:t>
      </w:r>
      <w:r w:rsidR="001538C5" w:rsidRPr="001538C5">
        <w:rPr>
          <w:rFonts w:ascii="Times New Roman" w:hAnsi="Times New Roman" w:cs="Times New Roman"/>
          <w:sz w:val="24"/>
          <w:szCs w:val="24"/>
        </w:rPr>
        <w:t>. As a result, the government developed a task force whose primary objective would be to find new effective ways that would be advice on the best way to interact with the Maori providers which would be essential in meeting the social needs of the Maori Whānau. The government also expected the task force to create an evidence-based framework that would be essential in enabling the community-based providers and government-based agencies collaborate to improve Maori Whānau well-being as well as enhance the Whānau’s independence. This framework was meant to increase cost-effectiveness. In 2010, the task force submitted a report to the government titled Whānau Ora: Report of the Taskforce on Whānau-Centred Initiatives hence the origin of Whānau Ora.</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Whānau Ora Initiatives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Upon receiving the task force report, the government responded by introducing initiatives. The initiatives were in two phases one in 2009/2010 while the other in 2013/2014. In the first phase, the efforts mostly involved deciding the initiatives that would be put in place and the governance and accountability arrangements</w:t>
      </w:r>
      <w:r w:rsidR="00176373">
        <w:rPr>
          <w:rFonts w:ascii="Times New Roman" w:hAnsi="Times New Roman" w:cs="Times New Roman"/>
          <w:sz w:val="24"/>
          <w:szCs w:val="24"/>
        </w:rPr>
        <w:t xml:space="preserve"> (Auditor General</w:t>
      </w:r>
      <w:r w:rsidR="008A713A">
        <w:rPr>
          <w:rFonts w:ascii="Times New Roman" w:hAnsi="Times New Roman" w:cs="Times New Roman"/>
          <w:sz w:val="24"/>
          <w:szCs w:val="24"/>
        </w:rPr>
        <w:t>, 2015</w:t>
      </w:r>
      <w:r w:rsidR="00176373">
        <w:rPr>
          <w:rFonts w:ascii="Times New Roman" w:hAnsi="Times New Roman" w:cs="Times New Roman"/>
          <w:sz w:val="24"/>
          <w:szCs w:val="24"/>
        </w:rPr>
        <w:t>)</w:t>
      </w:r>
      <w:r w:rsidRPr="001538C5">
        <w:rPr>
          <w:rFonts w:ascii="Times New Roman" w:hAnsi="Times New Roman" w:cs="Times New Roman"/>
          <w:sz w:val="24"/>
          <w:szCs w:val="24"/>
        </w:rPr>
        <w:t>. The initiatives that were put in place in this first phase included provider capability building,</w:t>
      </w:r>
      <w:r w:rsidR="00E55B51" w:rsidRPr="00E55B51">
        <w:rPr>
          <w:rFonts w:ascii="Times New Roman" w:hAnsi="Times New Roman" w:cs="Times New Roman"/>
          <w:sz w:val="24"/>
          <w:szCs w:val="24"/>
        </w:rPr>
        <w:t xml:space="preserve"> </w:t>
      </w:r>
      <w:r w:rsidR="00E55B51" w:rsidRPr="001538C5">
        <w:rPr>
          <w:rFonts w:ascii="Times New Roman" w:hAnsi="Times New Roman" w:cs="Times New Roman"/>
          <w:sz w:val="24"/>
          <w:szCs w:val="24"/>
        </w:rPr>
        <w:t>the government’s support for the initiatives</w:t>
      </w:r>
      <w:r w:rsidR="00E55B51">
        <w:rPr>
          <w:rFonts w:ascii="Times New Roman" w:hAnsi="Times New Roman" w:cs="Times New Roman"/>
          <w:sz w:val="24"/>
          <w:szCs w:val="24"/>
        </w:rPr>
        <w:t>,</w:t>
      </w:r>
      <w:r w:rsidRPr="001538C5">
        <w:rPr>
          <w:rFonts w:ascii="Times New Roman" w:hAnsi="Times New Roman" w:cs="Times New Roman"/>
          <w:sz w:val="24"/>
          <w:szCs w:val="24"/>
        </w:rPr>
        <w:t xml:space="preserve"> WII</w:t>
      </w:r>
      <w:r w:rsidR="00E55B51">
        <w:rPr>
          <w:rFonts w:ascii="Times New Roman" w:hAnsi="Times New Roman" w:cs="Times New Roman"/>
          <w:sz w:val="24"/>
          <w:szCs w:val="24"/>
        </w:rPr>
        <w:t>E and integrated contracting</w:t>
      </w:r>
      <w:r w:rsidRPr="001538C5">
        <w:rPr>
          <w:rFonts w:ascii="Times New Roman" w:hAnsi="Times New Roman" w:cs="Times New Roman"/>
          <w:sz w:val="24"/>
          <w:szCs w:val="24"/>
        </w:rPr>
        <w:t>.</w:t>
      </w:r>
      <w:bookmarkStart w:id="0" w:name="_GoBack"/>
      <w:bookmarkEnd w:id="0"/>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 xml:space="preserve">The provider capability building was an initiative intended to deliver coordinated services through combined efforts to make the services Whānau centered as well as meet the needs of the individuals. This initiative was also developed to deliver responsive and integrated services for individuals and Whānau. It also aimed at increasing the Whānau’s control over their lives. On the other hand, the Whānau integration, innovation and engagement (WIIE) was an initiative centered on the Whānau developing plans that were vital in improving their lives. As a way to enable them to prepare the plans, the Whānau could apply to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for funding through a legal entity</w:t>
      </w:r>
      <w:r w:rsidR="00E11722">
        <w:rPr>
          <w:rFonts w:ascii="Times New Roman" w:hAnsi="Times New Roman" w:cs="Times New Roman"/>
          <w:sz w:val="24"/>
          <w:szCs w:val="24"/>
        </w:rPr>
        <w:t xml:space="preserve"> (Auditor General, 2015)</w:t>
      </w:r>
      <w:r w:rsidRPr="001538C5">
        <w:rPr>
          <w:rFonts w:ascii="Times New Roman" w:hAnsi="Times New Roman" w:cs="Times New Roman"/>
          <w:sz w:val="24"/>
          <w:szCs w:val="24"/>
        </w:rPr>
        <w:t>. However, factors such as location made some Whānau be prioritized for funding. For instance, Whānau who lived in geographically isolated and areas of high deprivation, as well as the Pacific Whānau and Maori, are prioritized for funding. However, this initiative ended in June 2014.</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last initiative which entails integrated contracting was meant to enhance contract management efficiency to give providers ample time to spend on building their capability in the delivering Whānau-centered services. Furthermore, agencies such as the Ministry of Social Development, Ministry of Health and Te Puni</w:t>
      </w:r>
      <w:r w:rsidR="005B3DCB">
        <w:rPr>
          <w:rFonts w:ascii="Times New Roman" w:hAnsi="Times New Roman" w:cs="Times New Roman"/>
          <w:sz w:val="24"/>
          <w:szCs w:val="24"/>
        </w:rPr>
        <w:t xml:space="preserve"> Kōkiri</w:t>
      </w:r>
      <w:r w:rsidRPr="001538C5">
        <w:rPr>
          <w:rFonts w:ascii="Times New Roman" w:hAnsi="Times New Roman" w:cs="Times New Roman"/>
          <w:sz w:val="24"/>
          <w:szCs w:val="24"/>
        </w:rPr>
        <w:t xml:space="preserve"> cooperate to integrate contracts and support the administrative work with the provider collectives.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second phase of the initiatives involved a plan to set up a standalone commission agency for funding to build Whānau capability. The commission’s primary responsibility would be to receive the funding applications and enter into an agreement with the applicants they choose. The agreements would be legally binding. The commissioning agencies would include Te Pou Metakana for whānau in Te Ika-a-Māui North Island, Te Pūtahitanga o Te Waipounamu For whānau in Te Waipounamu – South Island and Pasifika Futures for Pasifika families across New Zealand</w:t>
      </w:r>
      <w:r w:rsidR="00E11722">
        <w:rPr>
          <w:rFonts w:ascii="Times New Roman" w:hAnsi="Times New Roman" w:cs="Times New Roman"/>
          <w:sz w:val="24"/>
          <w:szCs w:val="24"/>
        </w:rPr>
        <w:t xml:space="preserve"> (Te Puni</w:t>
      </w:r>
      <w:r w:rsidR="00E11722">
        <w:rPr>
          <w:rFonts w:ascii="Times New Roman" w:hAnsi="Times New Roman" w:cs="Times New Roman"/>
          <w:color w:val="000000"/>
          <w:sz w:val="24"/>
          <w:szCs w:val="24"/>
          <w:shd w:val="clear" w:color="auto" w:fill="FFFFFF"/>
        </w:rPr>
        <w:t>Kōkiri</w:t>
      </w:r>
      <w:r w:rsidR="00E11722">
        <w:rPr>
          <w:rFonts w:ascii="Times New Roman" w:hAnsi="Times New Roman" w:cs="Times New Roman"/>
          <w:color w:val="000000"/>
          <w:sz w:val="24"/>
          <w:szCs w:val="24"/>
          <w:shd w:val="clear" w:color="auto" w:fill="FFFFFF"/>
        </w:rPr>
        <w:t>, 2015)</w:t>
      </w:r>
      <w:r w:rsidRPr="001538C5">
        <w:rPr>
          <w:rFonts w:ascii="Times New Roman" w:hAnsi="Times New Roman" w:cs="Times New Roman"/>
          <w:sz w:val="24"/>
          <w:szCs w:val="24"/>
        </w:rPr>
        <w:t xml:space="preserve">. These commissioning agencies are non-governmental </w:t>
      </w:r>
      <w:r w:rsidRPr="001538C5">
        <w:rPr>
          <w:rFonts w:ascii="Times New Roman" w:hAnsi="Times New Roman" w:cs="Times New Roman"/>
          <w:sz w:val="24"/>
          <w:szCs w:val="24"/>
        </w:rPr>
        <w:lastRenderedPageBreak/>
        <w:t xml:space="preserve">organizations that can fund any community-based organizations in any sector. In most cases, they support initiatives which make it possible to achieve the Whānau Ora Outcomes. These agencies also act as agents that match the aspirations and the needs of the Whānau. They also match them to initiatives that make them more self-managing. These commission agencies also work with prominent Whānau Ora collectives and community providers such as marae, iwi, church groups, education providers and sports groups. They must report annually to the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on the progress made, Whānau overall outcomes as well as the outcomes achieved.</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Other organizations that are vital to the Whānau well-being are the government agencies, iwi and Whānau Ora Partnership group. The government agencies, through the guidance of the Whānau Ora outcomes framework, are responsible for policy, planning and investment decisions aimed at enhancing the Whānau outcomes</w:t>
      </w:r>
      <w:r w:rsidR="00E11722">
        <w:rPr>
          <w:rFonts w:ascii="Times New Roman" w:hAnsi="Times New Roman" w:cs="Times New Roman"/>
          <w:sz w:val="24"/>
          <w:szCs w:val="24"/>
        </w:rPr>
        <w:t xml:space="preserve"> (Te Puni </w:t>
      </w:r>
      <w:r w:rsidR="00E11722">
        <w:rPr>
          <w:rFonts w:ascii="Times New Roman" w:hAnsi="Times New Roman" w:cs="Times New Roman"/>
          <w:color w:val="000000"/>
          <w:sz w:val="24"/>
          <w:szCs w:val="24"/>
          <w:shd w:val="clear" w:color="auto" w:fill="FFFFFF"/>
        </w:rPr>
        <w:t>Kōkiri</w:t>
      </w:r>
      <w:r w:rsidR="00E11722">
        <w:rPr>
          <w:rFonts w:ascii="Times New Roman" w:hAnsi="Times New Roman" w:cs="Times New Roman"/>
          <w:color w:val="000000"/>
          <w:sz w:val="24"/>
          <w:szCs w:val="24"/>
          <w:shd w:val="clear" w:color="auto" w:fill="FFFFFF"/>
        </w:rPr>
        <w:t>, 2016)</w:t>
      </w:r>
      <w:r w:rsidRPr="001538C5">
        <w:rPr>
          <w:rFonts w:ascii="Times New Roman" w:hAnsi="Times New Roman" w:cs="Times New Roman"/>
          <w:sz w:val="24"/>
          <w:szCs w:val="24"/>
        </w:rPr>
        <w:t>. Government agencies also prioritize investments and potential partnerships with other organizations such as iwi. Iwi’s aspirations are often aligned with the Whānau Ora Outcomes Framework.</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The Whānau Ora Partnership Group which entails six representatives that include the m</w:t>
      </w:r>
      <w:r w:rsidR="00D04F53">
        <w:rPr>
          <w:rFonts w:ascii="Times New Roman" w:hAnsi="Times New Roman" w:cs="Times New Roman"/>
          <w:sz w:val="24"/>
          <w:szCs w:val="24"/>
        </w:rPr>
        <w:t>inisters of Finance, education</w:t>
      </w:r>
      <w:r w:rsidRPr="001538C5">
        <w:rPr>
          <w:rFonts w:ascii="Times New Roman" w:hAnsi="Times New Roman" w:cs="Times New Roman"/>
          <w:sz w:val="24"/>
          <w:szCs w:val="24"/>
        </w:rPr>
        <w:t xml:space="preserve">, social development, </w:t>
      </w:r>
      <w:r w:rsidR="00D04F53">
        <w:rPr>
          <w:rFonts w:ascii="Times New Roman" w:hAnsi="Times New Roman" w:cs="Times New Roman"/>
          <w:sz w:val="24"/>
          <w:szCs w:val="24"/>
        </w:rPr>
        <w:t xml:space="preserve">health, </w:t>
      </w:r>
      <w:r w:rsidRPr="001538C5">
        <w:rPr>
          <w:rFonts w:ascii="Times New Roman" w:hAnsi="Times New Roman" w:cs="Times New Roman"/>
          <w:sz w:val="24"/>
          <w:szCs w:val="24"/>
        </w:rPr>
        <w:t>economic development</w:t>
      </w:r>
      <w:r w:rsidR="00D04F53">
        <w:rPr>
          <w:rFonts w:ascii="Times New Roman" w:hAnsi="Times New Roman" w:cs="Times New Roman"/>
          <w:sz w:val="24"/>
          <w:szCs w:val="24"/>
        </w:rPr>
        <w:t>,finance</w:t>
      </w:r>
      <w:r w:rsidRPr="001538C5">
        <w:rPr>
          <w:rFonts w:ascii="Times New Roman" w:hAnsi="Times New Roman" w:cs="Times New Roman"/>
          <w:sz w:val="24"/>
          <w:szCs w:val="24"/>
        </w:rPr>
        <w:t xml:space="preserve"> and the Iwi Chairs Forum. The group mainly identifies priorities, monitors progress and sets the direction in the achievement of improved outcomes towards the Whānau</w:t>
      </w:r>
      <w:r w:rsidR="00E11722">
        <w:rPr>
          <w:rFonts w:ascii="Times New Roman" w:hAnsi="Times New Roman" w:cs="Times New Roman"/>
          <w:sz w:val="24"/>
          <w:szCs w:val="24"/>
        </w:rPr>
        <w:t xml:space="preserve"> </w:t>
      </w:r>
      <w:r w:rsidR="00E11722">
        <w:rPr>
          <w:rFonts w:ascii="Times New Roman" w:hAnsi="Times New Roman" w:cs="Times New Roman"/>
          <w:sz w:val="24"/>
          <w:szCs w:val="24"/>
        </w:rPr>
        <w:t xml:space="preserve">(Te Puni </w:t>
      </w:r>
      <w:r w:rsidR="00E11722">
        <w:rPr>
          <w:rFonts w:ascii="Times New Roman" w:hAnsi="Times New Roman" w:cs="Times New Roman"/>
          <w:color w:val="000000"/>
          <w:sz w:val="24"/>
          <w:szCs w:val="24"/>
          <w:shd w:val="clear" w:color="auto" w:fill="FFFFFF"/>
        </w:rPr>
        <w:t>Kōkiri</w:t>
      </w:r>
      <w:r w:rsidR="008A713A">
        <w:rPr>
          <w:rFonts w:ascii="Times New Roman" w:hAnsi="Times New Roman" w:cs="Times New Roman"/>
          <w:color w:val="000000"/>
          <w:sz w:val="24"/>
          <w:szCs w:val="24"/>
          <w:shd w:val="clear" w:color="auto" w:fill="FFFFFF"/>
        </w:rPr>
        <w:t>, 2016</w:t>
      </w:r>
      <w:r w:rsidR="00E11722">
        <w:rPr>
          <w:rFonts w:ascii="Times New Roman" w:hAnsi="Times New Roman" w:cs="Times New Roman"/>
          <w:color w:val="000000"/>
          <w:sz w:val="24"/>
          <w:szCs w:val="24"/>
          <w:shd w:val="clear" w:color="auto" w:fill="FFFFFF"/>
        </w:rPr>
        <w:t>)</w:t>
      </w:r>
      <w:r w:rsidRPr="001538C5">
        <w:rPr>
          <w:rFonts w:ascii="Times New Roman" w:hAnsi="Times New Roman" w:cs="Times New Roman"/>
          <w:sz w:val="24"/>
          <w:szCs w:val="24"/>
        </w:rPr>
        <w:t>. The organization also mostly focuses on the short-term outcomes for the Whānau by monitoring the progress made over four to five years. Measures and indicators are mostly set to help identify when these short-term outcomes have been achieved.</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Implementation of the Initiatives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Whānau Ora initiative was implemented using the taskforce framework. Money is allocated to the Whānau Ora upon the cabinet’s approval. As a result, an implementation group known as Whānau Ora Governance group is established by the Minister or any official in the government. The group may comprise the</w:t>
      </w:r>
      <w:r w:rsidR="00781972">
        <w:rPr>
          <w:rFonts w:ascii="Times New Roman" w:hAnsi="Times New Roman" w:cs="Times New Roman"/>
          <w:sz w:val="24"/>
          <w:szCs w:val="24"/>
        </w:rPr>
        <w:t xml:space="preserve"> </w:t>
      </w:r>
      <w:r w:rsidRPr="001538C5">
        <w:rPr>
          <w:rFonts w:ascii="Times New Roman" w:hAnsi="Times New Roman" w:cs="Times New Roman"/>
          <w:sz w:val="24"/>
          <w:szCs w:val="24"/>
        </w:rPr>
        <w:t>Ministry of Health,</w:t>
      </w:r>
      <w:r w:rsidR="008A713A" w:rsidRPr="008A713A">
        <w:rPr>
          <w:rFonts w:ascii="Times New Roman" w:hAnsi="Times New Roman" w:cs="Times New Roman"/>
          <w:sz w:val="24"/>
          <w:szCs w:val="24"/>
        </w:rPr>
        <w:t xml:space="preserve"> </w:t>
      </w:r>
      <w:r w:rsidR="008A713A" w:rsidRPr="001538C5">
        <w:rPr>
          <w:rFonts w:ascii="Times New Roman" w:hAnsi="Times New Roman" w:cs="Times New Roman"/>
          <w:sz w:val="24"/>
          <w:szCs w:val="24"/>
        </w:rPr>
        <w:t>Ministry of Social Development</w:t>
      </w:r>
      <w:r w:rsidRPr="001538C5">
        <w:rPr>
          <w:rFonts w:ascii="Times New Roman" w:hAnsi="Times New Roman" w:cs="Times New Roman"/>
          <w:sz w:val="24"/>
          <w:szCs w:val="24"/>
        </w:rPr>
        <w:t xml:space="preserve">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and three community representatives</w:t>
      </w:r>
      <w:r w:rsidR="00E11722">
        <w:rPr>
          <w:rFonts w:ascii="Times New Roman" w:hAnsi="Times New Roman" w:cs="Times New Roman"/>
          <w:sz w:val="24"/>
          <w:szCs w:val="24"/>
        </w:rPr>
        <w:t xml:space="preserve"> (Doma</w:t>
      </w:r>
      <w:r w:rsidR="00176373">
        <w:rPr>
          <w:rFonts w:ascii="Times New Roman" w:hAnsi="Times New Roman" w:cs="Times New Roman"/>
          <w:sz w:val="24"/>
          <w:szCs w:val="24"/>
        </w:rPr>
        <w:t>, 2014</w:t>
      </w:r>
      <w:r w:rsidR="00E11722">
        <w:rPr>
          <w:rFonts w:ascii="Times New Roman" w:hAnsi="Times New Roman" w:cs="Times New Roman"/>
          <w:sz w:val="24"/>
          <w:szCs w:val="24"/>
        </w:rPr>
        <w:t>)</w:t>
      </w:r>
      <w:r w:rsidRPr="001538C5">
        <w:rPr>
          <w:rFonts w:ascii="Times New Roman" w:hAnsi="Times New Roman" w:cs="Times New Roman"/>
          <w:sz w:val="24"/>
          <w:szCs w:val="24"/>
        </w:rPr>
        <w:t xml:space="preserve">. Te Puni </w:t>
      </w:r>
      <w:r w:rsidR="005B3DCB">
        <w:rPr>
          <w:rFonts w:ascii="Times New Roman" w:hAnsi="Times New Roman" w:cs="Times New Roman"/>
          <w:sz w:val="24"/>
          <w:szCs w:val="24"/>
        </w:rPr>
        <w:t>Kōkiri</w:t>
      </w:r>
      <w:r w:rsidRPr="001538C5">
        <w:rPr>
          <w:rFonts w:ascii="Times New Roman" w:hAnsi="Times New Roman" w:cs="Times New Roman"/>
          <w:sz w:val="24"/>
          <w:szCs w:val="24"/>
        </w:rPr>
        <w:t xml:space="preserve"> heads the implementation process. For effective implementation, ten regional leadership groups may be developed to identify the priorities of Whānau as well as advocate for Whānau Ora in their regions.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When implementing the initiatives, the primary goal was to achieve the best possible outcomes for the Whānau by addressing the pressing issues first and enabling them to identify and plan for their goals. To facilitate goal achievement, two approaches are used. They include supporting the Whānau financially through the WIIE fund as well as building the capacity of the relevant services. Collectives are also involved in the agenda of achieving Whānau needs and make a range of services available to them.</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To determine the effectiveness of Whānau Ora and the commissioning agencies, a performance approach is mostly applied. Commissioning agencies identify their short-term and long-term goals that they want to achieve. Most of these goals align with the government priorities for the Whānau. The agencies may also actively engage the Whānau groups and Maori towards the achievement of their goals related to their well-being. For instance, in March 2017, Te Arawa Whānau Ora held its first cervical and breast cancer screening in Rotorua. This presented an opportunity to measure progress as well as identify challenges.</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Application of the Performance Measurement Approach</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lastRenderedPageBreak/>
        <w:t>To better understand the implementation of the initiatives in relation to the performance measurement approach, we analyze Te Pou Matakana’s progress report of March 2017. For instance, when it comes to the measure of Whānau Ora Outcomes, the measure is against indicators that are of particular interest to the government. These indicators are also relevant to the Whānau and also the self-identified priorities for the Whānau. These indicators include participating, leading healthy, economically and resilient. It is important to note that these outcomes are influenced by the Kaiahari services and collective impact. In participating, the results showed that 78 out of 202 of tamariki which is an equivalent of 39% had enrolled in ECE and 148 out of 233 of rangatahi which is an equivalent of 64% had achieved NCEA. When it comes to leading a healthy life, the outcomes indicated that 62% of the Whānau participate in recreational activities or organized sports due to intervention. Also, 64 % of Whānau live in fully insulated homes because of the intervention</w:t>
      </w:r>
      <w:r w:rsidR="00E11722">
        <w:rPr>
          <w:rFonts w:ascii="Times New Roman" w:hAnsi="Times New Roman" w:cs="Times New Roman"/>
          <w:sz w:val="24"/>
          <w:szCs w:val="24"/>
        </w:rPr>
        <w:t xml:space="preserve"> </w:t>
      </w:r>
      <w:r w:rsidR="00E11722">
        <w:rPr>
          <w:rFonts w:ascii="Times New Roman" w:hAnsi="Times New Roman" w:cs="Times New Roman"/>
          <w:sz w:val="24"/>
          <w:szCs w:val="24"/>
        </w:rPr>
        <w:t>(</w:t>
      </w:r>
      <w:r w:rsidR="00E11722" w:rsidRPr="005B3DCB">
        <w:rPr>
          <w:rFonts w:ascii="Times New Roman" w:hAnsi="Times New Roman" w:cs="Times New Roman"/>
          <w:color w:val="000000"/>
          <w:sz w:val="24"/>
          <w:szCs w:val="24"/>
          <w:shd w:val="clear" w:color="auto" w:fill="FFFFFF"/>
        </w:rPr>
        <w:t>T</w:t>
      </w:r>
      <w:r w:rsidR="00E11722">
        <w:rPr>
          <w:rFonts w:ascii="Times New Roman" w:hAnsi="Times New Roman" w:cs="Times New Roman"/>
          <w:color w:val="000000"/>
          <w:sz w:val="24"/>
          <w:szCs w:val="24"/>
          <w:shd w:val="clear" w:color="auto" w:fill="FFFFFF"/>
        </w:rPr>
        <w:t>epoumatakana, 2017)</w:t>
      </w:r>
      <w:r w:rsidRPr="001538C5">
        <w:rPr>
          <w:rFonts w:ascii="Times New Roman" w:hAnsi="Times New Roman" w:cs="Times New Roman"/>
          <w:sz w:val="24"/>
          <w:szCs w:val="24"/>
        </w:rPr>
        <w:t>.</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It is also evident from the outcomes that at least 51% of Whānau use financial literacy when it comes to making decisions related to health. Based on the economic indicator 856 out of 1694 of the Whānau develop budgets and a financial plan that they use to make their health decisions. Lastly, in resilience, we see that the 432 out of 676 perceive domestic violence as a threat and show concern about it</w:t>
      </w:r>
      <w:r w:rsidR="005B3DCB">
        <w:rPr>
          <w:rFonts w:ascii="Times New Roman" w:hAnsi="Times New Roman" w:cs="Times New Roman"/>
          <w:sz w:val="24"/>
          <w:szCs w:val="24"/>
        </w:rPr>
        <w:t xml:space="preserve"> </w:t>
      </w:r>
      <w:r w:rsidR="005B3DCB">
        <w:rPr>
          <w:rFonts w:ascii="Times New Roman" w:hAnsi="Times New Roman" w:cs="Times New Roman"/>
          <w:sz w:val="24"/>
          <w:szCs w:val="24"/>
        </w:rPr>
        <w:t>(</w:t>
      </w:r>
      <w:r w:rsidR="005B3DCB" w:rsidRPr="005B3DCB">
        <w:rPr>
          <w:rFonts w:ascii="Times New Roman" w:hAnsi="Times New Roman" w:cs="Times New Roman"/>
          <w:color w:val="000000"/>
          <w:sz w:val="24"/>
          <w:szCs w:val="24"/>
          <w:shd w:val="clear" w:color="auto" w:fill="FFFFFF"/>
        </w:rPr>
        <w:t>T</w:t>
      </w:r>
      <w:r w:rsidR="005B3DCB">
        <w:rPr>
          <w:rFonts w:ascii="Times New Roman" w:hAnsi="Times New Roman" w:cs="Times New Roman"/>
          <w:color w:val="000000"/>
          <w:sz w:val="24"/>
          <w:szCs w:val="24"/>
          <w:shd w:val="clear" w:color="auto" w:fill="FFFFFF"/>
        </w:rPr>
        <w:t>epoumatakana, 2017)</w:t>
      </w:r>
      <w:r w:rsidR="005B3DCB" w:rsidRPr="001538C5">
        <w:rPr>
          <w:rFonts w:ascii="Times New Roman" w:hAnsi="Times New Roman" w:cs="Times New Roman"/>
          <w:sz w:val="24"/>
          <w:szCs w:val="24"/>
        </w:rPr>
        <w:t>.</w:t>
      </w:r>
      <w:r w:rsidRPr="001538C5">
        <w:rPr>
          <w:rFonts w:ascii="Times New Roman" w:hAnsi="Times New Roman" w:cs="Times New Roman"/>
          <w:sz w:val="24"/>
          <w:szCs w:val="24"/>
        </w:rPr>
        <w:t xml:space="preserve"> These outcomes give us a glimpse of Whānau priorities by focusing on Te Pou Matakana.</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Also, on the performance highlights, Whānau reported positive experiences as a result of the Whānau direct support. Most reported that they had achieved a positive change which led to more positive impacts. Also, from the performance highlights, there are some self-identified priorities made by the Whānau. From the graph, it is evident that priority outcomes were achieved in all the categories which include knowledge, health, community, living and </w:t>
      </w:r>
      <w:r w:rsidRPr="001538C5">
        <w:rPr>
          <w:rFonts w:ascii="Times New Roman" w:hAnsi="Times New Roman" w:cs="Times New Roman"/>
          <w:sz w:val="24"/>
          <w:szCs w:val="24"/>
        </w:rPr>
        <w:lastRenderedPageBreak/>
        <w:t>relationships. Also, a milestone goal was subsequently achieved in each category and the Whānau made plans on how they could achieve their goals in each category.</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Whānau Engagements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From the Te Pou Matakana progress update, there is active participation or engagement of t</w:t>
      </w:r>
      <w:r w:rsidR="00176373">
        <w:rPr>
          <w:rFonts w:ascii="Times New Roman" w:hAnsi="Times New Roman" w:cs="Times New Roman"/>
          <w:sz w:val="24"/>
          <w:szCs w:val="24"/>
        </w:rPr>
        <w:t>he Whānau especially in Kaiarahi</w:t>
      </w:r>
      <w:r w:rsidRPr="001538C5">
        <w:rPr>
          <w:rFonts w:ascii="Times New Roman" w:hAnsi="Times New Roman" w:cs="Times New Roman"/>
          <w:sz w:val="24"/>
          <w:szCs w:val="24"/>
        </w:rPr>
        <w:t xml:space="preserve"> services. Also, their engagement in the contribution to the Whānau Ora outcomes cannot be overlooked. Through their engagement, it is easy to identify areas that they need to prioritize more to enhance their well-being. Furthermore, the Whānau experiences included in the progress update allow us to identify the significance of the Kaiarahi services and the support they offer to the Whānau in improving their well-being.</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The Whānau Ora outcomes framework suggests that Whānau Ora is achieved if Whānau is living healthy lifestyles, actively participating in the society, </w:t>
      </w:r>
      <w:r w:rsidR="005B3DCB" w:rsidRPr="001538C5">
        <w:rPr>
          <w:rFonts w:ascii="Times New Roman" w:hAnsi="Times New Roman" w:cs="Times New Roman"/>
          <w:sz w:val="24"/>
          <w:szCs w:val="24"/>
        </w:rPr>
        <w:t>and nurturing</w:t>
      </w:r>
      <w:r w:rsidRPr="001538C5">
        <w:rPr>
          <w:rFonts w:ascii="Times New Roman" w:hAnsi="Times New Roman" w:cs="Times New Roman"/>
          <w:sz w:val="24"/>
          <w:szCs w:val="24"/>
        </w:rPr>
        <w:t>, self-managing and responsible stewards of their environments</w:t>
      </w:r>
      <w:r w:rsidR="00176373">
        <w:rPr>
          <w:rFonts w:ascii="Times New Roman" w:hAnsi="Times New Roman" w:cs="Times New Roman"/>
          <w:sz w:val="24"/>
          <w:szCs w:val="24"/>
        </w:rPr>
        <w:t xml:space="preserve"> (Doma</w:t>
      </w:r>
      <w:r w:rsidR="008A713A">
        <w:rPr>
          <w:rFonts w:ascii="Times New Roman" w:hAnsi="Times New Roman" w:cs="Times New Roman"/>
          <w:sz w:val="24"/>
          <w:szCs w:val="24"/>
        </w:rPr>
        <w:t>, 2014</w:t>
      </w:r>
      <w:r w:rsidR="00176373">
        <w:rPr>
          <w:rFonts w:ascii="Times New Roman" w:hAnsi="Times New Roman" w:cs="Times New Roman"/>
          <w:sz w:val="24"/>
          <w:szCs w:val="24"/>
        </w:rPr>
        <w:t>)</w:t>
      </w:r>
      <w:r w:rsidRPr="001538C5">
        <w:rPr>
          <w:rFonts w:ascii="Times New Roman" w:hAnsi="Times New Roman" w:cs="Times New Roman"/>
          <w:sz w:val="24"/>
          <w:szCs w:val="24"/>
        </w:rPr>
        <w:t>. The framework also suggests that for the Whānau to achieve their aspirational goals, they must include the short, medium and long-term outcomes. The short results can be easily achieved within four to five years, the medium outcomes within five to ten years and the long-term outcomes from eleven to twenty five years.</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In relation to the outcomes and Whānau goal achievement, the report indicates significant progress especially in the achievement of the priority outcomes. The progress against performance measures category also shows that the Whānau has been able to achieve their short to medium term goals. However, the achievement of the milestone goals may take a while. This is based on the results that show that on collective impact 632 out of the target 743 achieved their milestone goals. On the other hand, on Kaiarahi, only 1774 out of a target of 3138 have managed to achieve their milestone goals</w:t>
      </w:r>
      <w:r w:rsidR="005B3DCB">
        <w:rPr>
          <w:rFonts w:ascii="Times New Roman" w:hAnsi="Times New Roman" w:cs="Times New Roman"/>
          <w:sz w:val="24"/>
          <w:szCs w:val="24"/>
        </w:rPr>
        <w:t xml:space="preserve"> </w:t>
      </w:r>
      <w:r w:rsidRPr="001538C5">
        <w:rPr>
          <w:rFonts w:ascii="Times New Roman" w:hAnsi="Times New Roman" w:cs="Times New Roman"/>
          <w:sz w:val="24"/>
          <w:szCs w:val="24"/>
        </w:rPr>
        <w:t xml:space="preserve">On the achievement of the priority outcomes by the Whānau, on </w:t>
      </w:r>
      <w:r w:rsidRPr="001538C5">
        <w:rPr>
          <w:rFonts w:ascii="Times New Roman" w:hAnsi="Times New Roman" w:cs="Times New Roman"/>
          <w:sz w:val="24"/>
          <w:szCs w:val="24"/>
        </w:rPr>
        <w:lastRenderedPageBreak/>
        <w:t>a collective impact, only 302 out of a target of 495 manage to achieve this, and on Kaiarahi, only 1990 out of a target of 2092 achieve their priority outcomes</w:t>
      </w:r>
      <w:r w:rsidR="005B3DCB">
        <w:rPr>
          <w:rFonts w:ascii="Times New Roman" w:hAnsi="Times New Roman" w:cs="Times New Roman"/>
          <w:sz w:val="24"/>
          <w:szCs w:val="24"/>
        </w:rPr>
        <w:t xml:space="preserve"> </w:t>
      </w:r>
      <w:r w:rsidR="005B3DCB">
        <w:rPr>
          <w:rFonts w:ascii="Times New Roman" w:hAnsi="Times New Roman" w:cs="Times New Roman"/>
          <w:sz w:val="24"/>
          <w:szCs w:val="24"/>
        </w:rPr>
        <w:t>(</w:t>
      </w:r>
      <w:r w:rsidR="005B3DCB" w:rsidRPr="005B3DCB">
        <w:rPr>
          <w:rFonts w:ascii="Times New Roman" w:hAnsi="Times New Roman" w:cs="Times New Roman"/>
          <w:color w:val="000000"/>
          <w:sz w:val="24"/>
          <w:szCs w:val="24"/>
          <w:shd w:val="clear" w:color="auto" w:fill="FFFFFF"/>
        </w:rPr>
        <w:t>T</w:t>
      </w:r>
      <w:r w:rsidR="005B3DCB">
        <w:rPr>
          <w:rFonts w:ascii="Times New Roman" w:hAnsi="Times New Roman" w:cs="Times New Roman"/>
          <w:color w:val="000000"/>
          <w:sz w:val="24"/>
          <w:szCs w:val="24"/>
          <w:shd w:val="clear" w:color="auto" w:fill="FFFFFF"/>
        </w:rPr>
        <w:t>epoumatakana, 2017)</w:t>
      </w:r>
      <w:r w:rsidR="005B3DCB" w:rsidRPr="001538C5">
        <w:rPr>
          <w:rFonts w:ascii="Times New Roman" w:hAnsi="Times New Roman" w:cs="Times New Roman"/>
          <w:sz w:val="24"/>
          <w:szCs w:val="24"/>
        </w:rPr>
        <w:t>.</w:t>
      </w:r>
      <w:r w:rsidRPr="001538C5">
        <w:rPr>
          <w:rFonts w:ascii="Times New Roman" w:hAnsi="Times New Roman" w:cs="Times New Roman"/>
          <w:sz w:val="24"/>
          <w:szCs w:val="24"/>
        </w:rPr>
        <w:t>.</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This data, as well as other studies done in relation to the Whānau Ora and its innovative approaches to building the capacity and improving the well-being of the Whānau, indicates that it is the best approach when it comes to health care in a holistic approach. Even though other models have emerged over the years such as the Royal Commission of Social Policy Ngā Pou Mana model, Dr Rose Pere Te Wheke model, the Whānau approach remains to be the best models since it has an inclusive approach which is essential in providing healthcare services across New Zealand.</w:t>
      </w:r>
    </w:p>
    <w:p w:rsidR="001538C5" w:rsidRPr="001538C5" w:rsidRDefault="001538C5" w:rsidP="001538C5">
      <w:pPr>
        <w:spacing w:line="480" w:lineRule="auto"/>
        <w:jc w:val="center"/>
        <w:rPr>
          <w:rFonts w:ascii="Times New Roman" w:hAnsi="Times New Roman" w:cs="Times New Roman"/>
          <w:sz w:val="24"/>
          <w:szCs w:val="24"/>
        </w:rPr>
      </w:pPr>
      <w:r w:rsidRPr="001538C5">
        <w:rPr>
          <w:rFonts w:ascii="Times New Roman" w:hAnsi="Times New Roman" w:cs="Times New Roman"/>
          <w:sz w:val="24"/>
          <w:szCs w:val="24"/>
        </w:rPr>
        <w:t>Conclusion</w:t>
      </w:r>
    </w:p>
    <w:p w:rsidR="001538C5" w:rsidRP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From the analysis, we can infer that Whānau Ora is an approach that aims to improve Whānau’s well-being by putting them at the center of the decision-making process. Despite the fact that it focuses on the Whānau as a whole, it does not overlook the individual needs. It is also keen on offering the support that Whānau needs in achieving their aspirations which are crucial in enhancing their overall well-being. Through its principles, the Whānau Ora vision is quite clear, and factors such as funding, active engagement, leadership, design and delivery of services as well as responsive governments are perceived to be crucial to enabling the Whānau to achieve their aspirations as well as building their capacity to do so.</w:t>
      </w:r>
    </w:p>
    <w:p w:rsidR="001538C5" w:rsidRDefault="001538C5" w:rsidP="001538C5">
      <w:pPr>
        <w:spacing w:line="480" w:lineRule="auto"/>
        <w:ind w:firstLine="720"/>
        <w:rPr>
          <w:rFonts w:ascii="Times New Roman" w:hAnsi="Times New Roman" w:cs="Times New Roman"/>
          <w:sz w:val="24"/>
          <w:szCs w:val="24"/>
        </w:rPr>
      </w:pPr>
      <w:r w:rsidRPr="001538C5">
        <w:rPr>
          <w:rFonts w:ascii="Times New Roman" w:hAnsi="Times New Roman" w:cs="Times New Roman"/>
          <w:sz w:val="24"/>
          <w:szCs w:val="24"/>
        </w:rPr>
        <w:t xml:space="preserve">Other than the fact that the analysis is crucial in learning more about the Whānau Ora from its origin to its application, the review is helpful in providing better outcomes for the Whānau Ora especially in responding to Whānau diverse needs as well as ensuring that the Whānau Ora is strengthened for better outcomes. Also, through the analysis, important aspects </w:t>
      </w:r>
      <w:r w:rsidRPr="001538C5">
        <w:rPr>
          <w:rFonts w:ascii="Times New Roman" w:hAnsi="Times New Roman" w:cs="Times New Roman"/>
          <w:sz w:val="24"/>
          <w:szCs w:val="24"/>
        </w:rPr>
        <w:lastRenderedPageBreak/>
        <w:t>such as how the Whānau Ora approaches improve outcomes as well as the overall well-being of the Whānau.</w:t>
      </w: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922542" w:rsidRDefault="00922542" w:rsidP="001538C5">
      <w:pPr>
        <w:spacing w:line="480" w:lineRule="auto"/>
        <w:ind w:firstLine="720"/>
        <w:rPr>
          <w:rFonts w:ascii="Times New Roman" w:hAnsi="Times New Roman" w:cs="Times New Roman"/>
          <w:sz w:val="24"/>
          <w:szCs w:val="24"/>
        </w:rPr>
      </w:pPr>
    </w:p>
    <w:p w:rsidR="005B3DCB" w:rsidRPr="005B3DCB" w:rsidRDefault="00922542" w:rsidP="005B3DC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 xml:space="preserve">Auditor General. (2015). Whānau Ora: The first four years. Retrieved from </w:t>
      </w:r>
      <w:hyperlink r:id="rId6" w:history="1">
        <w:r w:rsidRPr="005B3DCB">
          <w:rPr>
            <w:rStyle w:val="Hyperlink"/>
            <w:rFonts w:ascii="Times New Roman" w:hAnsi="Times New Roman" w:cs="Times New Roman"/>
            <w:sz w:val="24"/>
            <w:szCs w:val="24"/>
            <w:shd w:val="clear" w:color="auto" w:fill="FFFFFF"/>
          </w:rPr>
          <w:t>https://www.oag.govt.nz/2015/whanau-ora/part7.htm</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222222"/>
          <w:sz w:val="24"/>
          <w:szCs w:val="24"/>
          <w:shd w:val="clear" w:color="auto" w:fill="FFFFFF"/>
        </w:rPr>
        <w:t>Dormer, R. (2014). Whānau ora and the collaborative turn. </w:t>
      </w:r>
      <w:r w:rsidRPr="005B3DCB">
        <w:rPr>
          <w:rFonts w:ascii="Times New Roman" w:hAnsi="Times New Roman" w:cs="Times New Roman"/>
          <w:i/>
          <w:iCs/>
          <w:color w:val="222222"/>
          <w:sz w:val="24"/>
          <w:szCs w:val="24"/>
          <w:shd w:val="clear" w:color="auto" w:fill="FFFFFF"/>
        </w:rPr>
        <w:t>International Journal of Public Administration</w:t>
      </w:r>
      <w:r w:rsidRPr="005B3DCB">
        <w:rPr>
          <w:rFonts w:ascii="Times New Roman" w:hAnsi="Times New Roman" w:cs="Times New Roman"/>
          <w:color w:val="222222"/>
          <w:sz w:val="24"/>
          <w:szCs w:val="24"/>
          <w:shd w:val="clear" w:color="auto" w:fill="FFFFFF"/>
        </w:rPr>
        <w:t>, </w:t>
      </w:r>
      <w:r w:rsidRPr="005B3DCB">
        <w:rPr>
          <w:rFonts w:ascii="Times New Roman" w:hAnsi="Times New Roman" w:cs="Times New Roman"/>
          <w:i/>
          <w:iCs/>
          <w:color w:val="222222"/>
          <w:sz w:val="24"/>
          <w:szCs w:val="24"/>
          <w:shd w:val="clear" w:color="auto" w:fill="FFFFFF"/>
        </w:rPr>
        <w:t>37</w:t>
      </w:r>
      <w:r w:rsidRPr="005B3DCB">
        <w:rPr>
          <w:rFonts w:ascii="Times New Roman" w:hAnsi="Times New Roman" w:cs="Times New Roman"/>
          <w:color w:val="222222"/>
          <w:sz w:val="24"/>
          <w:szCs w:val="24"/>
          <w:shd w:val="clear" w:color="auto" w:fill="FFFFFF"/>
        </w:rPr>
        <w:t>(12), 835-845.</w:t>
      </w:r>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 xml:space="preserve">Te Puni </w:t>
      </w:r>
      <w:r w:rsidRPr="005B3DCB">
        <w:rPr>
          <w:rFonts w:ascii="Times New Roman" w:hAnsi="Times New Roman" w:cs="Times New Roman"/>
          <w:color w:val="000000"/>
          <w:sz w:val="24"/>
          <w:szCs w:val="24"/>
          <w:shd w:val="clear" w:color="auto" w:fill="FFFFFF"/>
        </w:rPr>
        <w:t>Kōkiri</w:t>
      </w:r>
      <w:r w:rsidRPr="005B3DCB">
        <w:rPr>
          <w:rFonts w:ascii="Times New Roman" w:hAnsi="Times New Roman" w:cs="Times New Roman"/>
          <w:color w:val="000000"/>
          <w:sz w:val="24"/>
          <w:szCs w:val="24"/>
          <w:shd w:val="clear" w:color="auto" w:fill="FFFFFF"/>
        </w:rPr>
        <w:t xml:space="preserve"> (2016).</w:t>
      </w:r>
      <w:r w:rsidRPr="005B3DCB">
        <w:rPr>
          <w:rFonts w:ascii="Times New Roman" w:hAnsi="Times New Roman" w:cs="Times New Roman"/>
          <w:color w:val="000000"/>
          <w:sz w:val="24"/>
          <w:szCs w:val="24"/>
          <w:shd w:val="clear" w:color="auto" w:fill="FFFFFF"/>
        </w:rPr>
        <w:t>The Whānau Ora Outcomes Framework: Empowering</w:t>
      </w:r>
      <w:r w:rsidRPr="005B3DCB">
        <w:rPr>
          <w:rFonts w:ascii="Times New Roman" w:hAnsi="Times New Roman" w:cs="Times New Roman"/>
          <w:color w:val="000000"/>
          <w:sz w:val="24"/>
          <w:szCs w:val="24"/>
          <w:shd w:val="clear" w:color="auto" w:fill="FFFFFF"/>
        </w:rPr>
        <w:t xml:space="preserve"> whānau into the future.</w:t>
      </w:r>
      <w:r w:rsidRPr="005B3DCB">
        <w:rPr>
          <w:rFonts w:ascii="Times New Roman" w:hAnsi="Times New Roman" w:cs="Times New Roman"/>
          <w:color w:val="000000"/>
          <w:sz w:val="24"/>
          <w:szCs w:val="24"/>
          <w:shd w:val="clear" w:color="auto" w:fill="FFFFFF"/>
        </w:rPr>
        <w:t xml:space="preserve"> Retrieved from </w:t>
      </w:r>
      <w:hyperlink r:id="rId7" w:history="1">
        <w:r w:rsidRPr="005B3DCB">
          <w:rPr>
            <w:rStyle w:val="Hyperlink"/>
            <w:rFonts w:ascii="Times New Roman" w:hAnsi="Times New Roman" w:cs="Times New Roman"/>
            <w:sz w:val="24"/>
            <w:szCs w:val="24"/>
            <w:shd w:val="clear" w:color="auto" w:fill="FFFFFF"/>
          </w:rPr>
          <w:t>https://www.tpk.govt.nz/docs/tpk-wo-outcomesframework-aug2016.pdf</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Te Puni</w:t>
      </w:r>
      <w:r>
        <w:rPr>
          <w:rFonts w:ascii="Times New Roman" w:hAnsi="Times New Roman" w:cs="Times New Roman"/>
          <w:color w:val="000000"/>
          <w:sz w:val="24"/>
          <w:szCs w:val="24"/>
          <w:shd w:val="clear" w:color="auto" w:fill="FFFFFF"/>
        </w:rPr>
        <w:t xml:space="preserve"> Kōkiri. (2015). Understanding W</w:t>
      </w:r>
      <w:r w:rsidRPr="005B3DCB">
        <w:rPr>
          <w:rFonts w:ascii="Times New Roman" w:hAnsi="Times New Roman" w:cs="Times New Roman"/>
          <w:color w:val="000000"/>
          <w:sz w:val="24"/>
          <w:szCs w:val="24"/>
          <w:shd w:val="clear" w:color="auto" w:fill="FFFFFF"/>
        </w:rPr>
        <w:t>hānau-cent</w:t>
      </w:r>
      <w:r>
        <w:rPr>
          <w:rFonts w:ascii="Times New Roman" w:hAnsi="Times New Roman" w:cs="Times New Roman"/>
          <w:color w:val="000000"/>
          <w:sz w:val="24"/>
          <w:szCs w:val="24"/>
          <w:shd w:val="clear" w:color="auto" w:fill="FFFFFF"/>
        </w:rPr>
        <w:t>e</w:t>
      </w:r>
      <w:r w:rsidRPr="005B3DCB">
        <w:rPr>
          <w:rFonts w:ascii="Times New Roman" w:hAnsi="Times New Roman" w:cs="Times New Roman"/>
          <w:color w:val="000000"/>
          <w:sz w:val="24"/>
          <w:szCs w:val="24"/>
          <w:shd w:val="clear" w:color="auto" w:fill="FFFFFF"/>
        </w:rPr>
        <w:t xml:space="preserve">red approaches Analysis of Phase One Whānau Ora research and monitoring results. Retrieved from </w:t>
      </w:r>
      <w:hyperlink r:id="rId8" w:history="1">
        <w:r w:rsidRPr="005B3DCB">
          <w:rPr>
            <w:rStyle w:val="Hyperlink"/>
            <w:rFonts w:ascii="Times New Roman" w:hAnsi="Times New Roman" w:cs="Times New Roman"/>
            <w:sz w:val="24"/>
            <w:szCs w:val="24"/>
            <w:shd w:val="clear" w:color="auto" w:fill="FFFFFF"/>
          </w:rPr>
          <w:t>https://www.tpk.govt.nz/documents/.../understanding-whanau-centred-approaches.pdf</w:t>
        </w:r>
      </w:hyperlink>
    </w:p>
    <w:p w:rsidR="005B3DCB" w:rsidRPr="005B3DCB" w:rsidRDefault="005B3DCB" w:rsidP="005B3DCB">
      <w:pPr>
        <w:spacing w:line="480" w:lineRule="auto"/>
        <w:ind w:left="720" w:hanging="720"/>
        <w:rPr>
          <w:rFonts w:ascii="Times New Roman" w:hAnsi="Times New Roman" w:cs="Times New Roman"/>
          <w:color w:val="000000"/>
          <w:sz w:val="24"/>
          <w:szCs w:val="24"/>
          <w:shd w:val="clear" w:color="auto" w:fill="FFFFFF"/>
        </w:rPr>
      </w:pPr>
      <w:r w:rsidRPr="005B3DCB">
        <w:rPr>
          <w:rFonts w:ascii="Times New Roman" w:hAnsi="Times New Roman" w:cs="Times New Roman"/>
          <w:color w:val="000000"/>
          <w:sz w:val="24"/>
          <w:szCs w:val="24"/>
          <w:shd w:val="clear" w:color="auto" w:fill="FFFFFF"/>
        </w:rPr>
        <w:t>T</w:t>
      </w:r>
      <w:r w:rsidRPr="005B3DCB">
        <w:rPr>
          <w:rFonts w:ascii="Times New Roman" w:hAnsi="Times New Roman" w:cs="Times New Roman"/>
          <w:color w:val="000000"/>
          <w:sz w:val="24"/>
          <w:szCs w:val="24"/>
          <w:shd w:val="clear" w:color="auto" w:fill="FFFFFF"/>
        </w:rPr>
        <w:t>epoumatakana. (2017). Te Pou Matakana: Progress Update as at 31 March 2017. Retrieved from http://www.tepoumatakana.com</w:t>
      </w:r>
    </w:p>
    <w:p w:rsidR="001538C5" w:rsidRPr="001538C5" w:rsidRDefault="001538C5" w:rsidP="001538C5">
      <w:pPr>
        <w:spacing w:line="480" w:lineRule="auto"/>
        <w:ind w:firstLine="720"/>
        <w:rPr>
          <w:rFonts w:ascii="Times New Roman" w:hAnsi="Times New Roman" w:cs="Times New Roman"/>
          <w:sz w:val="24"/>
          <w:szCs w:val="24"/>
        </w:rPr>
      </w:pPr>
    </w:p>
    <w:p w:rsidR="001538C5" w:rsidRPr="001538C5" w:rsidRDefault="001538C5" w:rsidP="001538C5">
      <w:pPr>
        <w:spacing w:line="480" w:lineRule="auto"/>
        <w:ind w:firstLine="720"/>
        <w:rPr>
          <w:rFonts w:ascii="Times New Roman" w:hAnsi="Times New Roman" w:cs="Times New Roman"/>
          <w:sz w:val="24"/>
          <w:szCs w:val="24"/>
        </w:rPr>
      </w:pPr>
    </w:p>
    <w:p w:rsidR="001538C5" w:rsidRPr="001538C5" w:rsidRDefault="001538C5" w:rsidP="001538C5">
      <w:pPr>
        <w:spacing w:line="480" w:lineRule="auto"/>
        <w:ind w:firstLine="720"/>
        <w:rPr>
          <w:rFonts w:ascii="Times New Roman" w:hAnsi="Times New Roman" w:cs="Times New Roman"/>
          <w:sz w:val="24"/>
          <w:szCs w:val="24"/>
        </w:rPr>
      </w:pPr>
    </w:p>
    <w:p w:rsidR="0003409A" w:rsidRPr="00F3666C" w:rsidRDefault="0003409A" w:rsidP="001538C5">
      <w:pPr>
        <w:spacing w:line="480" w:lineRule="auto"/>
        <w:ind w:firstLine="720"/>
        <w:rPr>
          <w:rFonts w:ascii="Times New Roman" w:hAnsi="Times New Roman" w:cs="Times New Roman"/>
          <w:sz w:val="24"/>
          <w:szCs w:val="24"/>
        </w:rPr>
      </w:pPr>
    </w:p>
    <w:p w:rsidR="007128CE" w:rsidRDefault="007128CE" w:rsidP="007128CE">
      <w:pPr>
        <w:jc w:val="center"/>
      </w:pPr>
    </w:p>
    <w:p w:rsidR="007128CE" w:rsidRDefault="007128CE" w:rsidP="007128CE">
      <w:pPr>
        <w:jc w:val="center"/>
      </w:pPr>
    </w:p>
    <w:sectPr w:rsidR="007128CE" w:rsidSect="007128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7E" w:rsidRDefault="0080577E" w:rsidP="007128CE">
      <w:pPr>
        <w:spacing w:after="0" w:line="240" w:lineRule="auto"/>
      </w:pPr>
      <w:r>
        <w:separator/>
      </w:r>
    </w:p>
  </w:endnote>
  <w:endnote w:type="continuationSeparator" w:id="0">
    <w:p w:rsidR="0080577E" w:rsidRDefault="0080577E" w:rsidP="0071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7E" w:rsidRDefault="0080577E" w:rsidP="007128CE">
      <w:pPr>
        <w:spacing w:after="0" w:line="240" w:lineRule="auto"/>
      </w:pPr>
      <w:r>
        <w:separator/>
      </w:r>
    </w:p>
  </w:footnote>
  <w:footnote w:type="continuationSeparator" w:id="0">
    <w:p w:rsidR="0080577E" w:rsidRDefault="0080577E" w:rsidP="00712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CE" w:rsidRPr="007128CE" w:rsidRDefault="007128CE" w:rsidP="007128CE">
    <w:pPr>
      <w:spacing w:after="0" w:line="480" w:lineRule="auto"/>
      <w:rPr>
        <w:rFonts w:ascii="Times New Roman" w:hAnsi="Times New Roman" w:cs="Times New Roman"/>
        <w:sz w:val="24"/>
        <w:szCs w:val="24"/>
      </w:rPr>
    </w:pP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 xml:space="preserve">NAU ORA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AA7AB7">
      <w:rPr>
        <w:rFonts w:ascii="Times New Roman" w:hAnsi="Times New Roman" w:cs="Times New Roman"/>
        <w:noProof/>
        <w:sz w:val="24"/>
        <w:szCs w:val="24"/>
      </w:rPr>
      <w:t>4</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CE" w:rsidRPr="007128CE" w:rsidRDefault="007128CE" w:rsidP="007128CE">
    <w:pPr>
      <w:rPr>
        <w:rFonts w:ascii="Times New Roman" w:hAnsi="Times New Roman" w:cs="Times New Roman"/>
        <w:sz w:val="24"/>
        <w:szCs w:val="24"/>
      </w:rPr>
    </w:pPr>
    <w:r>
      <w:rPr>
        <w:rFonts w:ascii="Times New Roman" w:hAnsi="Times New Roman" w:cs="Times New Roman"/>
        <w:color w:val="000000" w:themeColor="text1"/>
        <w:sz w:val="24"/>
        <w:szCs w:val="24"/>
      </w:rPr>
      <w:t xml:space="preserve">Running head: </w:t>
    </w:r>
    <w:r>
      <w:rPr>
        <w:rFonts w:ascii="Times New Roman" w:hAnsi="Times New Roman" w:cs="Times New Roman"/>
        <w:sz w:val="24"/>
        <w:szCs w:val="24"/>
      </w:rPr>
      <w:t>WH</w:t>
    </w:r>
    <w:r w:rsidRPr="007128CE">
      <w:rPr>
        <w:rFonts w:ascii="Times New Roman" w:hAnsi="Times New Roman" w:cs="Times New Roman"/>
        <w:sz w:val="24"/>
        <w:szCs w:val="24"/>
        <w:lang w:val="en-NZ"/>
      </w:rPr>
      <w:t>Ā</w:t>
    </w:r>
    <w:r>
      <w:rPr>
        <w:rFonts w:ascii="Times New Roman" w:hAnsi="Times New Roman" w:cs="Times New Roman"/>
        <w:sz w:val="24"/>
        <w:szCs w:val="24"/>
      </w:rPr>
      <w:t>NAU ORA                                                                                                 1</w:t>
    </w:r>
  </w:p>
  <w:p w:rsidR="007128CE" w:rsidRDefault="00712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E"/>
    <w:rsid w:val="0000609F"/>
    <w:rsid w:val="0003409A"/>
    <w:rsid w:val="00072996"/>
    <w:rsid w:val="00081A15"/>
    <w:rsid w:val="00123426"/>
    <w:rsid w:val="001319B7"/>
    <w:rsid w:val="0014383F"/>
    <w:rsid w:val="001467E3"/>
    <w:rsid w:val="001538C5"/>
    <w:rsid w:val="00153EF6"/>
    <w:rsid w:val="00175F5F"/>
    <w:rsid w:val="00176373"/>
    <w:rsid w:val="00186F92"/>
    <w:rsid w:val="001A2B32"/>
    <w:rsid w:val="001B5750"/>
    <w:rsid w:val="001C72A1"/>
    <w:rsid w:val="001D1F2B"/>
    <w:rsid w:val="001E0417"/>
    <w:rsid w:val="001F4BC2"/>
    <w:rsid w:val="00200F64"/>
    <w:rsid w:val="0022671B"/>
    <w:rsid w:val="0023633B"/>
    <w:rsid w:val="00250F86"/>
    <w:rsid w:val="00251C4E"/>
    <w:rsid w:val="002565D4"/>
    <w:rsid w:val="00283411"/>
    <w:rsid w:val="00287EE1"/>
    <w:rsid w:val="002953A7"/>
    <w:rsid w:val="002955A9"/>
    <w:rsid w:val="002A1B4F"/>
    <w:rsid w:val="002A79C1"/>
    <w:rsid w:val="002B3E20"/>
    <w:rsid w:val="002D6DF9"/>
    <w:rsid w:val="002D7EC7"/>
    <w:rsid w:val="002F01BB"/>
    <w:rsid w:val="0030217F"/>
    <w:rsid w:val="00302FE3"/>
    <w:rsid w:val="00323269"/>
    <w:rsid w:val="003305DF"/>
    <w:rsid w:val="0034284A"/>
    <w:rsid w:val="00363864"/>
    <w:rsid w:val="00374959"/>
    <w:rsid w:val="00391E44"/>
    <w:rsid w:val="003A2C2C"/>
    <w:rsid w:val="003A5783"/>
    <w:rsid w:val="003A69FD"/>
    <w:rsid w:val="003B6E57"/>
    <w:rsid w:val="003B7787"/>
    <w:rsid w:val="003C46A0"/>
    <w:rsid w:val="003C7F6B"/>
    <w:rsid w:val="004340D4"/>
    <w:rsid w:val="00437C6D"/>
    <w:rsid w:val="00456FAF"/>
    <w:rsid w:val="00484C44"/>
    <w:rsid w:val="00491CE2"/>
    <w:rsid w:val="00494CB8"/>
    <w:rsid w:val="004A36C1"/>
    <w:rsid w:val="004C2A14"/>
    <w:rsid w:val="004D677E"/>
    <w:rsid w:val="005230EE"/>
    <w:rsid w:val="00535DEF"/>
    <w:rsid w:val="005B3DCB"/>
    <w:rsid w:val="005B45C6"/>
    <w:rsid w:val="005F1DFE"/>
    <w:rsid w:val="005F4FC6"/>
    <w:rsid w:val="0060644D"/>
    <w:rsid w:val="006068A6"/>
    <w:rsid w:val="00613F57"/>
    <w:rsid w:val="00616B6A"/>
    <w:rsid w:val="00632442"/>
    <w:rsid w:val="00637EED"/>
    <w:rsid w:val="006858E2"/>
    <w:rsid w:val="00687CC0"/>
    <w:rsid w:val="00690A3B"/>
    <w:rsid w:val="00691C07"/>
    <w:rsid w:val="006B37B5"/>
    <w:rsid w:val="006D3FBA"/>
    <w:rsid w:val="006F7384"/>
    <w:rsid w:val="007128CE"/>
    <w:rsid w:val="00732C87"/>
    <w:rsid w:val="007345E1"/>
    <w:rsid w:val="00771A82"/>
    <w:rsid w:val="00781972"/>
    <w:rsid w:val="0078747A"/>
    <w:rsid w:val="00790714"/>
    <w:rsid w:val="00796861"/>
    <w:rsid w:val="007C08A3"/>
    <w:rsid w:val="007F2ABC"/>
    <w:rsid w:val="0080577E"/>
    <w:rsid w:val="00810EA3"/>
    <w:rsid w:val="00811921"/>
    <w:rsid w:val="00841E93"/>
    <w:rsid w:val="008441C1"/>
    <w:rsid w:val="0086003E"/>
    <w:rsid w:val="008748D4"/>
    <w:rsid w:val="00875CB8"/>
    <w:rsid w:val="00893B15"/>
    <w:rsid w:val="008A0120"/>
    <w:rsid w:val="008A713A"/>
    <w:rsid w:val="008C5AC4"/>
    <w:rsid w:val="008D4739"/>
    <w:rsid w:val="008E6012"/>
    <w:rsid w:val="00922542"/>
    <w:rsid w:val="00927EAC"/>
    <w:rsid w:val="00951707"/>
    <w:rsid w:val="009729CD"/>
    <w:rsid w:val="009C2354"/>
    <w:rsid w:val="009F3A0E"/>
    <w:rsid w:val="00A078E3"/>
    <w:rsid w:val="00A2351D"/>
    <w:rsid w:val="00AA7AB7"/>
    <w:rsid w:val="00AD350B"/>
    <w:rsid w:val="00AF2629"/>
    <w:rsid w:val="00B01920"/>
    <w:rsid w:val="00B44FB1"/>
    <w:rsid w:val="00B639BC"/>
    <w:rsid w:val="00B666EF"/>
    <w:rsid w:val="00B80072"/>
    <w:rsid w:val="00B83336"/>
    <w:rsid w:val="00BE2287"/>
    <w:rsid w:val="00C008C4"/>
    <w:rsid w:val="00C214DB"/>
    <w:rsid w:val="00C30B7A"/>
    <w:rsid w:val="00C33125"/>
    <w:rsid w:val="00C42EAB"/>
    <w:rsid w:val="00C53ADE"/>
    <w:rsid w:val="00C71FAC"/>
    <w:rsid w:val="00C7298E"/>
    <w:rsid w:val="00C75C8F"/>
    <w:rsid w:val="00CB5281"/>
    <w:rsid w:val="00CD1C9E"/>
    <w:rsid w:val="00CD6F42"/>
    <w:rsid w:val="00D01E4E"/>
    <w:rsid w:val="00D04F53"/>
    <w:rsid w:val="00D14996"/>
    <w:rsid w:val="00D27F3D"/>
    <w:rsid w:val="00D40B6A"/>
    <w:rsid w:val="00D6281D"/>
    <w:rsid w:val="00D85126"/>
    <w:rsid w:val="00D97CBE"/>
    <w:rsid w:val="00DA6222"/>
    <w:rsid w:val="00E052D2"/>
    <w:rsid w:val="00E11722"/>
    <w:rsid w:val="00E451AD"/>
    <w:rsid w:val="00E55B51"/>
    <w:rsid w:val="00E66BD9"/>
    <w:rsid w:val="00EC4DDA"/>
    <w:rsid w:val="00EC75F3"/>
    <w:rsid w:val="00ED4B97"/>
    <w:rsid w:val="00EE6AF9"/>
    <w:rsid w:val="00EF05FA"/>
    <w:rsid w:val="00EF4638"/>
    <w:rsid w:val="00EF6BD4"/>
    <w:rsid w:val="00F033D7"/>
    <w:rsid w:val="00F11882"/>
    <w:rsid w:val="00F23B0D"/>
    <w:rsid w:val="00F3666C"/>
    <w:rsid w:val="00F4086B"/>
    <w:rsid w:val="00F4766C"/>
    <w:rsid w:val="00F64FE6"/>
    <w:rsid w:val="00FA2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8C17B-3B6C-465A-B404-748334EA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8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8CE"/>
  </w:style>
  <w:style w:type="paragraph" w:styleId="Footer">
    <w:name w:val="footer"/>
    <w:basedOn w:val="Normal"/>
    <w:link w:val="FooterChar"/>
    <w:uiPriority w:val="99"/>
    <w:unhideWhenUsed/>
    <w:rsid w:val="0071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8CE"/>
  </w:style>
  <w:style w:type="character" w:styleId="Emphasis">
    <w:name w:val="Emphasis"/>
    <w:basedOn w:val="DefaultParagraphFont"/>
    <w:uiPriority w:val="20"/>
    <w:qFormat/>
    <w:rsid w:val="00F3666C"/>
    <w:rPr>
      <w:i/>
      <w:iCs/>
    </w:rPr>
  </w:style>
  <w:style w:type="character" w:styleId="Hyperlink">
    <w:name w:val="Hyperlink"/>
    <w:basedOn w:val="DefaultParagraphFont"/>
    <w:uiPriority w:val="99"/>
    <w:unhideWhenUsed/>
    <w:rsid w:val="009225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k.govt.nz/documents/.../understanding-whanau-centred-approaches.pdf" TargetMode="External"/><Relationship Id="rId3" Type="http://schemas.openxmlformats.org/officeDocument/2006/relationships/webSettings" Target="webSettings.xml"/><Relationship Id="rId7" Type="http://schemas.openxmlformats.org/officeDocument/2006/relationships/hyperlink" Target="https://www.tpk.govt.nz/docs/tpk-wo-outcomesframework-aug2016.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ag.govt.nz/2015/whanau-ora/part7.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2</cp:revision>
  <dcterms:created xsi:type="dcterms:W3CDTF">2018-10-09T20:32:00Z</dcterms:created>
  <dcterms:modified xsi:type="dcterms:W3CDTF">2018-10-09T20:32:00Z</dcterms:modified>
</cp:coreProperties>
</file>