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FF7" w:rsidRDefault="00647FF7" w:rsidP="00647FF7">
      <w:pPr>
        <w:tabs>
          <w:tab w:val="center" w:pos="4680"/>
          <w:tab w:val="left" w:pos="7785"/>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47FF7" w:rsidRDefault="00647FF7" w:rsidP="00647FF7">
      <w:pPr>
        <w:tabs>
          <w:tab w:val="center" w:pos="4680"/>
          <w:tab w:val="left" w:pos="7785"/>
        </w:tabs>
        <w:spacing w:line="480" w:lineRule="auto"/>
        <w:rPr>
          <w:rFonts w:ascii="Times New Roman" w:hAnsi="Times New Roman" w:cs="Times New Roman"/>
          <w:b/>
          <w:sz w:val="24"/>
          <w:szCs w:val="24"/>
        </w:rPr>
      </w:pPr>
    </w:p>
    <w:p w:rsidR="00647FF7" w:rsidRDefault="00647FF7" w:rsidP="00647FF7">
      <w:pPr>
        <w:tabs>
          <w:tab w:val="center" w:pos="4680"/>
          <w:tab w:val="left" w:pos="7785"/>
        </w:tabs>
        <w:spacing w:line="480" w:lineRule="auto"/>
        <w:rPr>
          <w:rFonts w:ascii="Times New Roman" w:hAnsi="Times New Roman" w:cs="Times New Roman"/>
          <w:b/>
          <w:sz w:val="24"/>
          <w:szCs w:val="24"/>
        </w:rPr>
      </w:pPr>
    </w:p>
    <w:p w:rsidR="00647FF7" w:rsidRDefault="00647FF7" w:rsidP="00647FF7">
      <w:pPr>
        <w:tabs>
          <w:tab w:val="center" w:pos="4680"/>
          <w:tab w:val="left" w:pos="7785"/>
        </w:tabs>
        <w:spacing w:line="480" w:lineRule="auto"/>
        <w:rPr>
          <w:rFonts w:ascii="Times New Roman" w:hAnsi="Times New Roman" w:cs="Times New Roman"/>
          <w:b/>
          <w:sz w:val="24"/>
          <w:szCs w:val="24"/>
        </w:rPr>
      </w:pPr>
    </w:p>
    <w:p w:rsidR="00647FF7" w:rsidRDefault="00647FF7" w:rsidP="00647FF7">
      <w:pPr>
        <w:tabs>
          <w:tab w:val="center" w:pos="4680"/>
          <w:tab w:val="left" w:pos="7785"/>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Pharmacology   </w:t>
      </w:r>
    </w:p>
    <w:p w:rsidR="00647FF7" w:rsidRPr="00392E38" w:rsidRDefault="00647FF7" w:rsidP="00647FF7">
      <w:pPr>
        <w:tabs>
          <w:tab w:val="center" w:pos="4680"/>
          <w:tab w:val="left" w:pos="7785"/>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Pr="00392E38">
        <w:rPr>
          <w:rFonts w:ascii="Times New Roman" w:hAnsi="Times New Roman" w:cs="Times New Roman"/>
          <w:b/>
          <w:sz w:val="24"/>
          <w:szCs w:val="24"/>
        </w:rPr>
        <w:t>Students’ Name</w:t>
      </w:r>
      <w:r>
        <w:rPr>
          <w:rFonts w:ascii="Times New Roman" w:hAnsi="Times New Roman" w:cs="Times New Roman"/>
          <w:b/>
          <w:sz w:val="24"/>
          <w:szCs w:val="24"/>
        </w:rPr>
        <w:tab/>
      </w:r>
    </w:p>
    <w:p w:rsidR="00647FF7" w:rsidRPr="00392E38" w:rsidRDefault="00647FF7" w:rsidP="00647FF7">
      <w:pPr>
        <w:spacing w:line="480" w:lineRule="auto"/>
        <w:jc w:val="center"/>
        <w:rPr>
          <w:rFonts w:ascii="Times New Roman" w:hAnsi="Times New Roman" w:cs="Times New Roman"/>
          <w:b/>
          <w:sz w:val="24"/>
          <w:szCs w:val="24"/>
        </w:rPr>
      </w:pPr>
      <w:r w:rsidRPr="00392E38">
        <w:rPr>
          <w:rFonts w:ascii="Times New Roman" w:hAnsi="Times New Roman" w:cs="Times New Roman"/>
          <w:b/>
          <w:sz w:val="24"/>
          <w:szCs w:val="24"/>
        </w:rPr>
        <w:t>Institution Affiliation</w:t>
      </w:r>
    </w:p>
    <w:p w:rsidR="00647FF7" w:rsidRPr="00392E38" w:rsidRDefault="00647FF7" w:rsidP="00647FF7">
      <w:pPr>
        <w:spacing w:line="480" w:lineRule="auto"/>
        <w:jc w:val="center"/>
        <w:rPr>
          <w:rFonts w:ascii="Times New Roman" w:hAnsi="Times New Roman" w:cs="Times New Roman"/>
          <w:b/>
          <w:sz w:val="24"/>
          <w:szCs w:val="24"/>
        </w:rPr>
      </w:pPr>
      <w:r w:rsidRPr="00392E38">
        <w:rPr>
          <w:rFonts w:ascii="Times New Roman" w:hAnsi="Times New Roman" w:cs="Times New Roman"/>
          <w:b/>
          <w:sz w:val="24"/>
          <w:szCs w:val="24"/>
        </w:rPr>
        <w:t>Course</w:t>
      </w:r>
    </w:p>
    <w:p w:rsidR="00647FF7" w:rsidRPr="00392E38" w:rsidRDefault="00647FF7" w:rsidP="00647FF7">
      <w:pPr>
        <w:spacing w:line="480" w:lineRule="auto"/>
        <w:jc w:val="center"/>
        <w:rPr>
          <w:rFonts w:ascii="Times New Roman" w:hAnsi="Times New Roman" w:cs="Times New Roman"/>
          <w:b/>
          <w:sz w:val="24"/>
          <w:szCs w:val="24"/>
        </w:rPr>
      </w:pPr>
      <w:r w:rsidRPr="00392E38">
        <w:rPr>
          <w:rFonts w:ascii="Times New Roman" w:hAnsi="Times New Roman" w:cs="Times New Roman"/>
          <w:b/>
          <w:sz w:val="24"/>
          <w:szCs w:val="24"/>
        </w:rPr>
        <w:t>Professors’ Name</w:t>
      </w:r>
    </w:p>
    <w:p w:rsidR="00647FF7" w:rsidRPr="00392E38" w:rsidRDefault="00647FF7" w:rsidP="00647FF7">
      <w:pPr>
        <w:spacing w:line="480" w:lineRule="auto"/>
        <w:jc w:val="center"/>
        <w:rPr>
          <w:rFonts w:ascii="Times New Roman" w:hAnsi="Times New Roman" w:cs="Times New Roman"/>
          <w:b/>
          <w:sz w:val="24"/>
          <w:szCs w:val="24"/>
        </w:rPr>
      </w:pPr>
      <w:r w:rsidRPr="00392E38">
        <w:rPr>
          <w:rFonts w:ascii="Times New Roman" w:hAnsi="Times New Roman" w:cs="Times New Roman"/>
          <w:b/>
          <w:sz w:val="24"/>
          <w:szCs w:val="24"/>
        </w:rPr>
        <w:t>Date of Submission</w:t>
      </w:r>
    </w:p>
    <w:p w:rsidR="00647FF7" w:rsidRDefault="00647FF7" w:rsidP="00647FF7">
      <w:pPr>
        <w:spacing w:line="480" w:lineRule="auto"/>
        <w:rPr>
          <w:rFonts w:ascii="Times New Roman" w:hAnsi="Times New Roman" w:cs="Times New Roman"/>
          <w:sz w:val="24"/>
          <w:szCs w:val="24"/>
        </w:rPr>
      </w:pPr>
    </w:p>
    <w:p w:rsidR="00647FF7" w:rsidRDefault="00647FF7" w:rsidP="00647FF7">
      <w:pPr>
        <w:spacing w:line="480" w:lineRule="auto"/>
        <w:rPr>
          <w:rFonts w:ascii="Times New Roman" w:hAnsi="Times New Roman" w:cs="Times New Roman"/>
          <w:sz w:val="24"/>
          <w:szCs w:val="24"/>
        </w:rPr>
      </w:pPr>
    </w:p>
    <w:p w:rsidR="00647FF7" w:rsidRDefault="00647FF7" w:rsidP="00647FF7">
      <w:pPr>
        <w:spacing w:line="480" w:lineRule="auto"/>
        <w:rPr>
          <w:rFonts w:ascii="Times New Roman" w:hAnsi="Times New Roman" w:cs="Times New Roman"/>
          <w:sz w:val="24"/>
          <w:szCs w:val="24"/>
        </w:rPr>
      </w:pPr>
    </w:p>
    <w:p w:rsidR="00647FF7" w:rsidRDefault="00647FF7" w:rsidP="00647FF7">
      <w:pPr>
        <w:spacing w:line="480" w:lineRule="auto"/>
        <w:rPr>
          <w:rFonts w:ascii="Times New Roman" w:hAnsi="Times New Roman" w:cs="Times New Roman"/>
          <w:sz w:val="24"/>
          <w:szCs w:val="24"/>
        </w:rPr>
      </w:pPr>
    </w:p>
    <w:p w:rsidR="00647FF7" w:rsidRDefault="00647FF7" w:rsidP="00647FF7">
      <w:pPr>
        <w:spacing w:line="480" w:lineRule="auto"/>
        <w:rPr>
          <w:rFonts w:ascii="Times New Roman" w:hAnsi="Times New Roman" w:cs="Times New Roman"/>
          <w:sz w:val="24"/>
          <w:szCs w:val="24"/>
        </w:rPr>
      </w:pPr>
    </w:p>
    <w:p w:rsidR="00647FF7" w:rsidRDefault="00647FF7" w:rsidP="00647FF7">
      <w:pPr>
        <w:spacing w:line="480" w:lineRule="auto"/>
        <w:rPr>
          <w:rFonts w:ascii="Times New Roman" w:hAnsi="Times New Roman" w:cs="Times New Roman"/>
          <w:sz w:val="24"/>
          <w:szCs w:val="24"/>
        </w:rPr>
      </w:pPr>
    </w:p>
    <w:p w:rsidR="00647FF7" w:rsidRDefault="00647FF7" w:rsidP="00647FF7">
      <w:pPr>
        <w:spacing w:line="480" w:lineRule="auto"/>
        <w:rPr>
          <w:rFonts w:ascii="Times New Roman" w:hAnsi="Times New Roman" w:cs="Times New Roman"/>
          <w:sz w:val="24"/>
          <w:szCs w:val="24"/>
        </w:rPr>
      </w:pPr>
    </w:p>
    <w:p w:rsidR="00647FF7" w:rsidRDefault="00647FF7" w:rsidP="00647FF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PHARMACOLOGY</w:t>
      </w:r>
    </w:p>
    <w:p w:rsidR="009416F4" w:rsidRDefault="00647FF7" w:rsidP="00647FF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10E35">
        <w:rPr>
          <w:rFonts w:ascii="Times New Roman" w:hAnsi="Times New Roman" w:cs="Times New Roman"/>
          <w:sz w:val="24"/>
          <w:szCs w:val="24"/>
        </w:rPr>
        <w:t xml:space="preserve">Transgender people have a gender identity that differs them from the sex that they were assigned at </w:t>
      </w:r>
      <w:r w:rsidR="004C2694">
        <w:rPr>
          <w:rFonts w:ascii="Times New Roman" w:hAnsi="Times New Roman" w:cs="Times New Roman"/>
          <w:sz w:val="24"/>
          <w:szCs w:val="24"/>
        </w:rPr>
        <w:t>birth. Some</w:t>
      </w:r>
      <w:r w:rsidR="00310E35">
        <w:rPr>
          <w:rFonts w:ascii="Times New Roman" w:hAnsi="Times New Roman" w:cs="Times New Roman"/>
          <w:sz w:val="24"/>
          <w:szCs w:val="24"/>
        </w:rPr>
        <w:t xml:space="preserve"> transgender people who desire medical assistance to transition from one sex to another identity</w:t>
      </w:r>
      <w:r w:rsidR="000B491B">
        <w:rPr>
          <w:rFonts w:ascii="Times New Roman" w:hAnsi="Times New Roman" w:cs="Times New Roman"/>
          <w:sz w:val="24"/>
          <w:szCs w:val="24"/>
        </w:rPr>
        <w:t xml:space="preserve"> are known are transsexual. Transgender people feel that the sex they were assigned at birth does not </w:t>
      </w:r>
      <w:r w:rsidR="004C2694">
        <w:rPr>
          <w:rFonts w:ascii="Times New Roman" w:hAnsi="Times New Roman" w:cs="Times New Roman"/>
          <w:sz w:val="24"/>
          <w:szCs w:val="24"/>
        </w:rPr>
        <w:t>correlate</w:t>
      </w:r>
      <w:r w:rsidR="000B491B">
        <w:rPr>
          <w:rFonts w:ascii="Times New Roman" w:hAnsi="Times New Roman" w:cs="Times New Roman"/>
          <w:sz w:val="24"/>
          <w:szCs w:val="24"/>
        </w:rPr>
        <w:t xml:space="preserve"> with their gender </w:t>
      </w:r>
      <w:r w:rsidR="004C2694">
        <w:rPr>
          <w:rFonts w:ascii="Times New Roman" w:hAnsi="Times New Roman" w:cs="Times New Roman"/>
          <w:sz w:val="24"/>
          <w:szCs w:val="24"/>
        </w:rPr>
        <w:t>identity. The</w:t>
      </w:r>
      <w:r w:rsidR="000B491B">
        <w:rPr>
          <w:rFonts w:ascii="Times New Roman" w:hAnsi="Times New Roman" w:cs="Times New Roman"/>
          <w:sz w:val="24"/>
          <w:szCs w:val="24"/>
        </w:rPr>
        <w:t xml:space="preserve"> transgender people may be identified as </w:t>
      </w:r>
      <w:r w:rsidR="004C2694">
        <w:rPr>
          <w:rFonts w:ascii="Times New Roman" w:hAnsi="Times New Roman" w:cs="Times New Roman"/>
          <w:sz w:val="24"/>
          <w:szCs w:val="24"/>
        </w:rPr>
        <w:t>heterosexual, homosexual</w:t>
      </w:r>
      <w:r w:rsidR="000B491B">
        <w:rPr>
          <w:rFonts w:ascii="Times New Roman" w:hAnsi="Times New Roman" w:cs="Times New Roman"/>
          <w:sz w:val="24"/>
          <w:szCs w:val="24"/>
        </w:rPr>
        <w:t xml:space="preserve"> or </w:t>
      </w:r>
      <w:r w:rsidR="004C2694">
        <w:rPr>
          <w:rFonts w:ascii="Times New Roman" w:hAnsi="Times New Roman" w:cs="Times New Roman"/>
          <w:sz w:val="24"/>
          <w:szCs w:val="24"/>
        </w:rPr>
        <w:t>bisexual. Gender</w:t>
      </w:r>
      <w:r w:rsidR="000B491B">
        <w:rPr>
          <w:rFonts w:ascii="Times New Roman" w:hAnsi="Times New Roman" w:cs="Times New Roman"/>
          <w:sz w:val="24"/>
          <w:szCs w:val="24"/>
        </w:rPr>
        <w:t xml:space="preserve"> identity and sexual orientation are different ways of identity that everyone goes through. But a </w:t>
      </w:r>
      <w:r w:rsidR="004C2694">
        <w:rPr>
          <w:rFonts w:ascii="Times New Roman" w:hAnsi="Times New Roman" w:cs="Times New Roman"/>
          <w:sz w:val="24"/>
          <w:szCs w:val="24"/>
        </w:rPr>
        <w:t>person’s</w:t>
      </w:r>
      <w:r w:rsidR="000B491B">
        <w:rPr>
          <w:rFonts w:ascii="Times New Roman" w:hAnsi="Times New Roman" w:cs="Times New Roman"/>
          <w:sz w:val="24"/>
          <w:szCs w:val="24"/>
        </w:rPr>
        <w:t xml:space="preserve"> gender does not determine a person sexual </w:t>
      </w:r>
      <w:r w:rsidR="004C2694">
        <w:rPr>
          <w:rFonts w:ascii="Times New Roman" w:hAnsi="Times New Roman" w:cs="Times New Roman"/>
          <w:sz w:val="24"/>
          <w:szCs w:val="24"/>
        </w:rPr>
        <w:t>orientation</w:t>
      </w:r>
      <w:r w:rsidR="00CE7DFC">
        <w:rPr>
          <w:rFonts w:ascii="Times New Roman" w:hAnsi="Times New Roman" w:cs="Times New Roman"/>
          <w:sz w:val="24"/>
          <w:szCs w:val="24"/>
        </w:rPr>
        <w:t xml:space="preserve"> (</w:t>
      </w:r>
      <w:r w:rsidR="00CE7DFC" w:rsidRPr="00CE7DFC">
        <w:rPr>
          <w:rFonts w:ascii="Times New Roman" w:hAnsi="Times New Roman" w:cs="Times New Roman"/>
          <w:color w:val="222222"/>
          <w:sz w:val="24"/>
          <w:szCs w:val="24"/>
          <w:shd w:val="clear" w:color="auto" w:fill="FFFFFF"/>
        </w:rPr>
        <w:t>Den</w:t>
      </w:r>
      <w:r w:rsidR="00CE7DFC" w:rsidRPr="00CE7DFC">
        <w:rPr>
          <w:rFonts w:ascii="Times New Roman" w:hAnsi="Times New Roman" w:cs="Times New Roman"/>
          <w:color w:val="222222"/>
          <w:sz w:val="24"/>
          <w:szCs w:val="24"/>
          <w:shd w:val="clear" w:color="auto" w:fill="FFFFFF"/>
        </w:rPr>
        <w:t xml:space="preserve"> Heijer</w:t>
      </w:r>
      <w:r w:rsidR="00CE7DFC" w:rsidRPr="00CE7DFC">
        <w:rPr>
          <w:rFonts w:ascii="Times New Roman" w:hAnsi="Times New Roman" w:cs="Times New Roman"/>
          <w:color w:val="222222"/>
          <w:sz w:val="24"/>
          <w:szCs w:val="24"/>
          <w:shd w:val="clear" w:color="auto" w:fill="FFFFFF"/>
        </w:rPr>
        <w:t>,</w:t>
      </w:r>
      <w:r w:rsidR="00CE7DFC">
        <w:rPr>
          <w:rFonts w:ascii="Times New Roman" w:hAnsi="Times New Roman" w:cs="Times New Roman"/>
          <w:color w:val="222222"/>
          <w:sz w:val="24"/>
          <w:szCs w:val="24"/>
          <w:shd w:val="clear" w:color="auto" w:fill="FFFFFF"/>
        </w:rPr>
        <w:t xml:space="preserve"> 2017)</w:t>
      </w:r>
      <w:r w:rsidR="004C2694">
        <w:rPr>
          <w:rFonts w:ascii="Times New Roman" w:hAnsi="Times New Roman" w:cs="Times New Roman"/>
          <w:sz w:val="24"/>
          <w:szCs w:val="24"/>
        </w:rPr>
        <w:t>. These</w:t>
      </w:r>
      <w:r w:rsidR="000B491B">
        <w:rPr>
          <w:rFonts w:ascii="Times New Roman" w:hAnsi="Times New Roman" w:cs="Times New Roman"/>
          <w:sz w:val="24"/>
          <w:szCs w:val="24"/>
        </w:rPr>
        <w:t xml:space="preserve"> people should be taken through a health education concerning access to health because not every healthcare provider knows how to treat transgender </w:t>
      </w:r>
      <w:r w:rsidR="004C2694">
        <w:rPr>
          <w:rFonts w:ascii="Times New Roman" w:hAnsi="Times New Roman" w:cs="Times New Roman"/>
          <w:sz w:val="24"/>
          <w:szCs w:val="24"/>
        </w:rPr>
        <w:t>people, health</w:t>
      </w:r>
      <w:r w:rsidR="000B491B">
        <w:rPr>
          <w:rFonts w:ascii="Times New Roman" w:hAnsi="Times New Roman" w:cs="Times New Roman"/>
          <w:sz w:val="24"/>
          <w:szCs w:val="24"/>
        </w:rPr>
        <w:t xml:space="preserve"> history in order to trust the health care </w:t>
      </w:r>
      <w:r w:rsidR="004C2694">
        <w:rPr>
          <w:rFonts w:ascii="Times New Roman" w:hAnsi="Times New Roman" w:cs="Times New Roman"/>
          <w:sz w:val="24"/>
          <w:szCs w:val="24"/>
        </w:rPr>
        <w:t>provider, hormonal</w:t>
      </w:r>
      <w:r w:rsidR="000B491B">
        <w:rPr>
          <w:rFonts w:ascii="Times New Roman" w:hAnsi="Times New Roman" w:cs="Times New Roman"/>
          <w:sz w:val="24"/>
          <w:szCs w:val="24"/>
        </w:rPr>
        <w:t xml:space="preserve"> changes</w:t>
      </w:r>
      <w:r w:rsidR="00E5649B">
        <w:rPr>
          <w:rFonts w:ascii="Times New Roman" w:hAnsi="Times New Roman" w:cs="Times New Roman"/>
          <w:sz w:val="24"/>
          <w:szCs w:val="24"/>
        </w:rPr>
        <w:t xml:space="preserve"> especially if he/she is taking them for the first </w:t>
      </w:r>
      <w:r w:rsidR="004C2694">
        <w:rPr>
          <w:rFonts w:ascii="Times New Roman" w:hAnsi="Times New Roman" w:cs="Times New Roman"/>
          <w:sz w:val="24"/>
          <w:szCs w:val="24"/>
        </w:rPr>
        <w:t>time, cardiovascular</w:t>
      </w:r>
      <w:r w:rsidR="00E5649B">
        <w:rPr>
          <w:rFonts w:ascii="Times New Roman" w:hAnsi="Times New Roman" w:cs="Times New Roman"/>
          <w:sz w:val="24"/>
          <w:szCs w:val="24"/>
        </w:rPr>
        <w:t xml:space="preserve"> health because they are at risk for heart attack and </w:t>
      </w:r>
      <w:r w:rsidR="004C2694">
        <w:rPr>
          <w:rFonts w:ascii="Times New Roman" w:hAnsi="Times New Roman" w:cs="Times New Roman"/>
          <w:sz w:val="24"/>
          <w:szCs w:val="24"/>
        </w:rPr>
        <w:t>stroke, sexually</w:t>
      </w:r>
      <w:r w:rsidR="00E5649B">
        <w:rPr>
          <w:rFonts w:ascii="Times New Roman" w:hAnsi="Times New Roman" w:cs="Times New Roman"/>
          <w:sz w:val="24"/>
          <w:szCs w:val="24"/>
        </w:rPr>
        <w:t xml:space="preserve"> transmitted diseases and  having safe sex,their mental health to avoid depression in</w:t>
      </w:r>
      <w:r>
        <w:rPr>
          <w:rFonts w:ascii="Times New Roman" w:hAnsi="Times New Roman" w:cs="Times New Roman"/>
          <w:sz w:val="24"/>
          <w:szCs w:val="24"/>
        </w:rPr>
        <w:t xml:space="preserve"> </w:t>
      </w:r>
      <w:r w:rsidR="00E5649B">
        <w:rPr>
          <w:rFonts w:ascii="Times New Roman" w:hAnsi="Times New Roman" w:cs="Times New Roman"/>
          <w:sz w:val="24"/>
          <w:szCs w:val="24"/>
        </w:rPr>
        <w:t>case of rejection from family members and their physical fitness.</w:t>
      </w:r>
    </w:p>
    <w:p w:rsidR="006D572E" w:rsidRDefault="00E5649B" w:rsidP="00647FF7">
      <w:p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The treatment that this patient needs to be put on is</w:t>
      </w:r>
    </w:p>
    <w:p w:rsidR="006D572E" w:rsidRDefault="00647FF7" w:rsidP="00647FF7">
      <w:pPr>
        <w:shd w:val="clear" w:color="auto" w:fill="FFFFFF"/>
        <w:spacing w:before="100" w:beforeAutospacing="1" w:after="100" w:afterAutospacing="1" w:line="480" w:lineRule="auto"/>
        <w:rPr>
          <w:rFonts w:ascii="Times New Roman" w:hAnsi="Times New Roman" w:cs="Times New Roman"/>
          <w:sz w:val="24"/>
          <w:szCs w:val="24"/>
        </w:rPr>
      </w:pPr>
      <w:r w:rsidRPr="006D572E">
        <w:rPr>
          <w:rFonts w:ascii="Times New Roman" w:hAnsi="Times New Roman" w:cs="Times New Roman"/>
          <w:sz w:val="24"/>
          <w:szCs w:val="24"/>
        </w:rPr>
        <w:t>Estrogen</w:t>
      </w:r>
    </w:p>
    <w:p w:rsidR="006D572E" w:rsidRPr="006D572E" w:rsidRDefault="006D572E" w:rsidP="00647FF7">
      <w:pPr>
        <w:numPr>
          <w:ilvl w:val="0"/>
          <w:numId w:val="3"/>
        </w:numPr>
        <w:shd w:val="clear" w:color="auto" w:fill="FFFFFF"/>
        <w:spacing w:before="100" w:beforeAutospacing="1" w:after="100" w:afterAutospacing="1" w:line="480" w:lineRule="auto"/>
        <w:ind w:left="0"/>
        <w:rPr>
          <w:rFonts w:ascii="Times New Roman" w:eastAsia="Times New Roman" w:hAnsi="Times New Roman" w:cs="Times New Roman"/>
          <w:color w:val="000000" w:themeColor="text1"/>
          <w:sz w:val="24"/>
          <w:szCs w:val="24"/>
        </w:rPr>
      </w:pPr>
      <w:r w:rsidRPr="006D572E">
        <w:rPr>
          <w:rFonts w:ascii="Times New Roman" w:eastAsia="Times New Roman" w:hAnsi="Times New Roman" w:cs="Times New Roman"/>
          <w:color w:val="000000" w:themeColor="text1"/>
          <w:sz w:val="24"/>
          <w:szCs w:val="24"/>
        </w:rPr>
        <w:t>Oral conjugated estrogens   </w:t>
      </w:r>
      <w:r w:rsidRPr="006D572E">
        <w:rPr>
          <w:rFonts w:ascii="Times New Roman" w:eastAsia="Times New Roman" w:hAnsi="Times New Roman" w:cs="Times New Roman"/>
          <w:i/>
          <w:iCs/>
          <w:color w:val="000000" w:themeColor="text1"/>
          <w:sz w:val="24"/>
          <w:szCs w:val="24"/>
        </w:rPr>
        <w:t>2.5–7.5mg/day</w:t>
      </w:r>
    </w:p>
    <w:p w:rsidR="006D572E" w:rsidRPr="006D572E" w:rsidRDefault="006D572E" w:rsidP="00647FF7">
      <w:pPr>
        <w:numPr>
          <w:ilvl w:val="0"/>
          <w:numId w:val="3"/>
        </w:numPr>
        <w:shd w:val="clear" w:color="auto" w:fill="FFFFFF"/>
        <w:spacing w:before="100" w:beforeAutospacing="1" w:after="100" w:afterAutospacing="1" w:line="480" w:lineRule="auto"/>
        <w:ind w:left="0"/>
        <w:rPr>
          <w:rFonts w:ascii="Times New Roman" w:eastAsia="Times New Roman" w:hAnsi="Times New Roman" w:cs="Times New Roman"/>
          <w:color w:val="000000" w:themeColor="text1"/>
          <w:sz w:val="24"/>
          <w:szCs w:val="24"/>
        </w:rPr>
      </w:pPr>
      <w:r w:rsidRPr="006D572E">
        <w:rPr>
          <w:rFonts w:ascii="Times New Roman" w:eastAsia="Times New Roman" w:hAnsi="Times New Roman" w:cs="Times New Roman"/>
          <w:color w:val="000000" w:themeColor="text1"/>
          <w:sz w:val="24"/>
          <w:szCs w:val="24"/>
        </w:rPr>
        <w:t>Oral 17-beta estradiol   </w:t>
      </w:r>
      <w:r w:rsidRPr="006D572E">
        <w:rPr>
          <w:rFonts w:ascii="Times New Roman" w:eastAsia="Times New Roman" w:hAnsi="Times New Roman" w:cs="Times New Roman"/>
          <w:i/>
          <w:iCs/>
          <w:color w:val="000000" w:themeColor="text1"/>
          <w:sz w:val="24"/>
          <w:szCs w:val="24"/>
        </w:rPr>
        <w:t>2–6mg/day</w:t>
      </w:r>
    </w:p>
    <w:p w:rsidR="006D572E" w:rsidRPr="00FE2E88" w:rsidRDefault="006D572E" w:rsidP="00647FF7">
      <w:pPr>
        <w:numPr>
          <w:ilvl w:val="0"/>
          <w:numId w:val="3"/>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r w:rsidRPr="006D572E">
        <w:rPr>
          <w:rFonts w:ascii="Times New Roman" w:eastAsia="Times New Roman" w:hAnsi="Times New Roman" w:cs="Times New Roman"/>
          <w:color w:val="000000" w:themeColor="text1"/>
          <w:sz w:val="24"/>
          <w:szCs w:val="24"/>
        </w:rPr>
        <w:t>Estradiol valerate   </w:t>
      </w:r>
      <w:r w:rsidRPr="006D572E">
        <w:rPr>
          <w:rFonts w:ascii="Times New Roman" w:eastAsia="Times New Roman" w:hAnsi="Times New Roman" w:cs="Times New Roman"/>
          <w:i/>
          <w:iCs/>
          <w:color w:val="000000" w:themeColor="text1"/>
          <w:sz w:val="24"/>
          <w:szCs w:val="24"/>
        </w:rPr>
        <w:t>5–20mg i.m./2 weeks</w:t>
      </w:r>
      <w:r w:rsidRPr="006D572E">
        <w:rPr>
          <w:rFonts w:ascii="Times New Roman" w:eastAsia="Times New Roman" w:hAnsi="Times New Roman" w:cs="Times New Roman"/>
          <w:color w:val="000000" w:themeColor="text1"/>
          <w:sz w:val="24"/>
          <w:szCs w:val="24"/>
        </w:rPr>
        <w:t>  or cypionate  </w:t>
      </w:r>
      <w:r w:rsidRPr="006D572E">
        <w:rPr>
          <w:rFonts w:ascii="Times New Roman" w:eastAsia="Times New Roman" w:hAnsi="Times New Roman" w:cs="Times New Roman"/>
          <w:i/>
          <w:iCs/>
          <w:color w:val="000000" w:themeColor="text1"/>
          <w:sz w:val="24"/>
          <w:szCs w:val="24"/>
        </w:rPr>
        <w:t>2–10mg i.m./week</w:t>
      </w:r>
    </w:p>
    <w:p w:rsidR="00FE2E88" w:rsidRPr="00FE2E88" w:rsidRDefault="00FE2E88" w:rsidP="00647FF7">
      <w:pPr>
        <w:numPr>
          <w:ilvl w:val="0"/>
          <w:numId w:val="3"/>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r w:rsidRPr="00FE2E88">
        <w:rPr>
          <w:rFonts w:ascii="Times New Roman" w:eastAsia="Times New Roman" w:hAnsi="Times New Roman" w:cs="Times New Roman"/>
          <w:color w:val="000000" w:themeColor="text1"/>
          <w:sz w:val="24"/>
          <w:szCs w:val="24"/>
        </w:rPr>
        <w:t>Estradiol patch    </w:t>
      </w:r>
      <w:r w:rsidRPr="00FE2E88">
        <w:rPr>
          <w:rFonts w:ascii="Times New Roman" w:eastAsia="Times New Roman" w:hAnsi="Times New Roman" w:cs="Times New Roman"/>
          <w:i/>
          <w:iCs/>
          <w:color w:val="000000" w:themeColor="text1"/>
          <w:sz w:val="24"/>
          <w:szCs w:val="24"/>
        </w:rPr>
        <w:t>0.1–0.4mg/2X week</w:t>
      </w:r>
    </w:p>
    <w:p w:rsidR="006D572E" w:rsidRPr="006D572E" w:rsidRDefault="006D572E" w:rsidP="00647FF7">
      <w:p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proofErr w:type="spellStart"/>
      <w:r>
        <w:rPr>
          <w:rFonts w:ascii="Times New Roman" w:hAnsi="Times New Roman" w:cs="Times New Roman"/>
          <w:sz w:val="24"/>
          <w:szCs w:val="24"/>
        </w:rPr>
        <w:t>A</w:t>
      </w:r>
      <w:r w:rsidR="00E5649B">
        <w:rPr>
          <w:rFonts w:ascii="Times New Roman" w:hAnsi="Times New Roman" w:cs="Times New Roman"/>
          <w:sz w:val="24"/>
          <w:szCs w:val="24"/>
        </w:rPr>
        <w:t>ntiandrogens</w:t>
      </w:r>
      <w:proofErr w:type="spellEnd"/>
    </w:p>
    <w:p w:rsidR="006D572E" w:rsidRPr="006D572E" w:rsidRDefault="006D572E" w:rsidP="00647FF7">
      <w:pPr>
        <w:numPr>
          <w:ilvl w:val="0"/>
          <w:numId w:val="1"/>
        </w:numPr>
        <w:shd w:val="clear" w:color="auto" w:fill="FFFFFF"/>
        <w:spacing w:before="100" w:beforeAutospacing="1" w:after="100" w:afterAutospacing="1" w:line="480" w:lineRule="auto"/>
        <w:ind w:left="0"/>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 </w:t>
      </w:r>
      <w:r w:rsidRPr="006D572E">
        <w:rPr>
          <w:rFonts w:ascii="Times New Roman" w:eastAsia="Times New Roman" w:hAnsi="Times New Roman" w:cs="Times New Roman"/>
          <w:color w:val="000000" w:themeColor="text1"/>
          <w:sz w:val="24"/>
          <w:szCs w:val="24"/>
        </w:rPr>
        <w:t>Spironolactone   </w:t>
      </w:r>
      <w:r w:rsidRPr="006D572E">
        <w:rPr>
          <w:rFonts w:ascii="Times New Roman" w:eastAsia="Times New Roman" w:hAnsi="Times New Roman" w:cs="Times New Roman"/>
          <w:i/>
          <w:iCs/>
          <w:color w:val="000000" w:themeColor="text1"/>
          <w:sz w:val="24"/>
          <w:szCs w:val="24"/>
        </w:rPr>
        <w:t>100 – 200 mg/day (up to 400 mg)</w:t>
      </w:r>
    </w:p>
    <w:p w:rsidR="006D572E" w:rsidRPr="006D572E" w:rsidRDefault="006D572E" w:rsidP="00647FF7">
      <w:pPr>
        <w:numPr>
          <w:ilvl w:val="0"/>
          <w:numId w:val="1"/>
        </w:numPr>
        <w:shd w:val="clear" w:color="auto" w:fill="FFFFFF"/>
        <w:spacing w:before="100" w:beforeAutospacing="1" w:after="100" w:afterAutospacing="1" w:line="480" w:lineRule="auto"/>
        <w:ind w:left="0"/>
        <w:rPr>
          <w:rFonts w:ascii="Times New Roman" w:eastAsia="Times New Roman" w:hAnsi="Times New Roman" w:cs="Times New Roman"/>
          <w:color w:val="000000" w:themeColor="text1"/>
          <w:sz w:val="24"/>
          <w:szCs w:val="24"/>
        </w:rPr>
      </w:pPr>
      <w:r w:rsidRPr="006D572E">
        <w:rPr>
          <w:rFonts w:ascii="Times New Roman" w:eastAsia="Times New Roman" w:hAnsi="Times New Roman" w:cs="Times New Roman"/>
          <w:color w:val="000000" w:themeColor="text1"/>
          <w:sz w:val="24"/>
          <w:szCs w:val="24"/>
        </w:rPr>
        <w:lastRenderedPageBreak/>
        <w:t>Cyproterone acetatea   </w:t>
      </w:r>
      <w:r w:rsidRPr="006D572E">
        <w:rPr>
          <w:rFonts w:ascii="Times New Roman" w:eastAsia="Times New Roman" w:hAnsi="Times New Roman" w:cs="Times New Roman"/>
          <w:i/>
          <w:iCs/>
          <w:color w:val="000000" w:themeColor="text1"/>
          <w:sz w:val="24"/>
          <w:szCs w:val="24"/>
        </w:rPr>
        <w:t>50–100mg/day</w:t>
      </w:r>
    </w:p>
    <w:p w:rsidR="006D572E" w:rsidRPr="00FE2E88" w:rsidRDefault="006D572E" w:rsidP="00647FF7">
      <w:pPr>
        <w:numPr>
          <w:ilvl w:val="0"/>
          <w:numId w:val="1"/>
        </w:numPr>
        <w:shd w:val="clear" w:color="auto" w:fill="FFFFFF"/>
        <w:spacing w:before="100" w:beforeAutospacing="1" w:after="100" w:afterAutospacing="1" w:line="480" w:lineRule="auto"/>
        <w:ind w:left="0"/>
        <w:rPr>
          <w:rFonts w:ascii="Times New Roman" w:eastAsia="Times New Roman" w:hAnsi="Times New Roman" w:cs="Times New Roman"/>
          <w:color w:val="000000" w:themeColor="text1"/>
          <w:sz w:val="24"/>
          <w:szCs w:val="24"/>
        </w:rPr>
      </w:pPr>
      <w:r w:rsidRPr="006D572E">
        <w:rPr>
          <w:rFonts w:ascii="Times New Roman" w:eastAsia="Times New Roman" w:hAnsi="Times New Roman" w:cs="Times New Roman"/>
          <w:color w:val="000000" w:themeColor="text1"/>
          <w:sz w:val="24"/>
          <w:szCs w:val="24"/>
        </w:rPr>
        <w:t>GnRH agonists   </w:t>
      </w:r>
      <w:r w:rsidRPr="006D572E">
        <w:rPr>
          <w:rFonts w:ascii="Times New Roman" w:eastAsia="Times New Roman" w:hAnsi="Times New Roman" w:cs="Times New Roman"/>
          <w:i/>
          <w:iCs/>
          <w:color w:val="000000" w:themeColor="text1"/>
          <w:sz w:val="24"/>
          <w:szCs w:val="24"/>
        </w:rPr>
        <w:t>3.75 mg subcutaneous monthly</w:t>
      </w:r>
    </w:p>
    <w:p w:rsidR="004C2694" w:rsidRPr="004C2694" w:rsidRDefault="00647FF7" w:rsidP="00CE7DFC">
      <w:pPr>
        <w:pStyle w:val="NormalWeb"/>
        <w:shd w:val="clear" w:color="auto" w:fill="FFFFFF"/>
        <w:spacing w:line="480" w:lineRule="auto"/>
        <w:rPr>
          <w:color w:val="000000" w:themeColor="text1"/>
        </w:rPr>
      </w:pPr>
      <w:r>
        <w:rPr>
          <w:color w:val="000000" w:themeColor="text1"/>
        </w:rPr>
        <w:t xml:space="preserve">                 </w:t>
      </w:r>
      <w:r w:rsidR="00FE2E88" w:rsidRPr="00FE2E88">
        <w:rPr>
          <w:color w:val="000000" w:themeColor="text1"/>
        </w:rPr>
        <w:t>Monitor for feminizing and adverse effects every 3 months for first year and then every 6– 12 months. Monitor serum testosterone and estradiol at follow-up visits with a practical target in the female range</w:t>
      </w:r>
      <w:r w:rsidR="00E309A5">
        <w:rPr>
          <w:color w:val="000000" w:themeColor="text1"/>
        </w:rPr>
        <w:t xml:space="preserve"> .</w:t>
      </w:r>
      <w:r w:rsidR="00E309A5" w:rsidRPr="00E309A5">
        <w:rPr>
          <w:color w:val="000000" w:themeColor="text1"/>
          <w:shd w:val="clear" w:color="auto" w:fill="FFFFFF"/>
        </w:rPr>
        <w:t>The speed at which changes occur depends on various factors. These include the dose and your body’s response. For most people, it takes 18 to 24 months to achieve the full effect.</w:t>
      </w:r>
      <w:r w:rsidR="00E309A5" w:rsidRPr="00E309A5">
        <w:rPr>
          <w:rFonts w:ascii="Arial" w:hAnsi="Arial" w:cs="Arial"/>
          <w:color w:val="343536"/>
          <w:sz w:val="30"/>
          <w:szCs w:val="30"/>
          <w:shd w:val="clear" w:color="auto" w:fill="FFFFFF"/>
        </w:rPr>
        <w:t xml:space="preserve"> </w:t>
      </w:r>
      <w:r w:rsidR="00E309A5" w:rsidRPr="00E309A5">
        <w:rPr>
          <w:color w:val="000000" w:themeColor="text1"/>
          <w:shd w:val="clear" w:color="auto" w:fill="FFFFFF"/>
        </w:rPr>
        <w:t>Starting with a low dose helps reduce the risk of complications and side effects. Then, as your body gets used to it, your provider will increase the dosage. After achieving the desired results, you take a lower dose for the rest of your life</w:t>
      </w:r>
      <w:r w:rsidR="00CE7DFC">
        <w:rPr>
          <w:color w:val="000000" w:themeColor="text1"/>
          <w:shd w:val="clear" w:color="auto" w:fill="FFFFFF"/>
        </w:rPr>
        <w:t xml:space="preserve"> (</w:t>
      </w:r>
      <w:r w:rsidR="00CE7DFC">
        <w:rPr>
          <w:color w:val="222222"/>
          <w:shd w:val="clear" w:color="auto" w:fill="FFFFFF"/>
        </w:rPr>
        <w:t xml:space="preserve">Castañeda, </w:t>
      </w:r>
      <w:r w:rsidR="00CE7DFC" w:rsidRPr="00CE7DFC">
        <w:rPr>
          <w:color w:val="222222"/>
          <w:shd w:val="clear" w:color="auto" w:fill="FFFFFF"/>
        </w:rPr>
        <w:t>2015)</w:t>
      </w:r>
      <w:r w:rsidR="00E309A5" w:rsidRPr="00E309A5">
        <w:rPr>
          <w:color w:val="000000" w:themeColor="text1"/>
          <w:shd w:val="clear" w:color="auto" w:fill="FFFFFF"/>
        </w:rPr>
        <w:t>.</w:t>
      </w:r>
      <w:r w:rsidR="004C2694" w:rsidRPr="004C2694">
        <w:rPr>
          <w:rFonts w:ascii="Arial" w:hAnsi="Arial" w:cs="Arial"/>
          <w:color w:val="343536"/>
          <w:sz w:val="30"/>
          <w:szCs w:val="30"/>
        </w:rPr>
        <w:t xml:space="preserve"> </w:t>
      </w:r>
      <w:r w:rsidR="004C2694" w:rsidRPr="004C2694">
        <w:rPr>
          <w:color w:val="000000" w:themeColor="text1"/>
        </w:rPr>
        <w:t xml:space="preserve">The speed at which changes occur depends on various factors. These include the dose and your body’s response. For most people, it takes 18 to 24 months to achieve the full </w:t>
      </w:r>
      <w:r w:rsidR="00CE7DFC" w:rsidRPr="004C2694">
        <w:rPr>
          <w:color w:val="000000" w:themeColor="text1"/>
        </w:rPr>
        <w:t>effect. Side</w:t>
      </w:r>
      <w:r w:rsidR="004C2694" w:rsidRPr="004C2694">
        <w:rPr>
          <w:color w:val="000000" w:themeColor="text1"/>
        </w:rPr>
        <w:t xml:space="preserve"> effects may include:</w:t>
      </w:r>
    </w:p>
    <w:p w:rsidR="004C2694" w:rsidRPr="00CE7DFC" w:rsidRDefault="004C2694" w:rsidP="00CE7DFC">
      <w:pPr>
        <w:pStyle w:val="ListParagraph"/>
        <w:numPr>
          <w:ilvl w:val="1"/>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6" w:tgtFrame="_blank" w:history="1">
        <w:r w:rsidRPr="00CE7DFC">
          <w:rPr>
            <w:rFonts w:ascii="Times New Roman" w:eastAsia="Times New Roman" w:hAnsi="Times New Roman" w:cs="Times New Roman"/>
            <w:color w:val="000000" w:themeColor="text1"/>
            <w:sz w:val="24"/>
            <w:szCs w:val="24"/>
          </w:rPr>
          <w:t>Deep vein thrombosis (DVT)</w:t>
        </w:r>
      </w:hyperlink>
      <w:r w:rsidRPr="00CE7DFC">
        <w:rPr>
          <w:rFonts w:ascii="Times New Roman" w:eastAsia="Times New Roman" w:hAnsi="Times New Roman" w:cs="Times New Roman"/>
          <w:color w:val="000000" w:themeColor="text1"/>
          <w:sz w:val="24"/>
          <w:szCs w:val="24"/>
        </w:rPr>
        <w:t>.</w:t>
      </w:r>
    </w:p>
    <w:p w:rsidR="004C2694" w:rsidRP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r w:rsidRPr="004C2694">
        <w:rPr>
          <w:rFonts w:ascii="Times New Roman" w:eastAsia="Times New Roman" w:hAnsi="Times New Roman" w:cs="Times New Roman"/>
          <w:color w:val="000000" w:themeColor="text1"/>
          <w:sz w:val="24"/>
          <w:szCs w:val="24"/>
        </w:rPr>
        <w:t>Electrolyte imbalance.</w:t>
      </w:r>
    </w:p>
    <w:p w:rsidR="004C2694" w:rsidRP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7" w:tgtFrame="_blank" w:history="1">
        <w:r w:rsidRPr="004C2694">
          <w:rPr>
            <w:rFonts w:ascii="Times New Roman" w:eastAsia="Times New Roman" w:hAnsi="Times New Roman" w:cs="Times New Roman"/>
            <w:color w:val="000000" w:themeColor="text1"/>
            <w:sz w:val="24"/>
            <w:szCs w:val="24"/>
          </w:rPr>
          <w:t>Elevated blood sugar (hyperglycemia)</w:t>
        </w:r>
      </w:hyperlink>
      <w:r w:rsidRPr="004C2694">
        <w:rPr>
          <w:rFonts w:ascii="Times New Roman" w:eastAsia="Times New Roman" w:hAnsi="Times New Roman" w:cs="Times New Roman"/>
          <w:color w:val="000000" w:themeColor="text1"/>
          <w:sz w:val="24"/>
          <w:szCs w:val="24"/>
        </w:rPr>
        <w:t>.</w:t>
      </w:r>
    </w:p>
    <w:p w:rsidR="004C2694" w:rsidRP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8" w:tgtFrame="_blank" w:history="1">
        <w:r w:rsidRPr="004C2694">
          <w:rPr>
            <w:rFonts w:ascii="Times New Roman" w:eastAsia="Times New Roman" w:hAnsi="Times New Roman" w:cs="Times New Roman"/>
            <w:color w:val="000000" w:themeColor="text1"/>
            <w:sz w:val="24"/>
            <w:szCs w:val="24"/>
          </w:rPr>
          <w:t>High blood pressure</w:t>
        </w:r>
      </w:hyperlink>
      <w:r w:rsidRPr="004C2694">
        <w:rPr>
          <w:rFonts w:ascii="Times New Roman" w:eastAsia="Times New Roman" w:hAnsi="Times New Roman" w:cs="Times New Roman"/>
          <w:color w:val="000000" w:themeColor="text1"/>
          <w:sz w:val="24"/>
          <w:szCs w:val="24"/>
        </w:rPr>
        <w:t>.</w:t>
      </w:r>
    </w:p>
    <w:p w:rsidR="004C2694" w:rsidRP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9" w:tgtFrame="_blank" w:history="1">
        <w:r w:rsidRPr="004C2694">
          <w:rPr>
            <w:rFonts w:ascii="Times New Roman" w:eastAsia="Times New Roman" w:hAnsi="Times New Roman" w:cs="Times New Roman"/>
            <w:color w:val="000000" w:themeColor="text1"/>
            <w:sz w:val="24"/>
            <w:szCs w:val="24"/>
          </w:rPr>
          <w:t>High potassium (hyperkalemia)</w:t>
        </w:r>
      </w:hyperlink>
      <w:r w:rsidRPr="004C2694">
        <w:rPr>
          <w:rFonts w:ascii="Times New Roman" w:eastAsia="Times New Roman" w:hAnsi="Times New Roman" w:cs="Times New Roman"/>
          <w:color w:val="000000" w:themeColor="text1"/>
          <w:sz w:val="24"/>
          <w:szCs w:val="24"/>
        </w:rPr>
        <w:t>.</w:t>
      </w:r>
    </w:p>
    <w:p w:rsidR="004C2694" w:rsidRP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10" w:tgtFrame="_blank" w:history="1">
        <w:r w:rsidRPr="004C2694">
          <w:rPr>
            <w:rFonts w:ascii="Times New Roman" w:eastAsia="Times New Roman" w:hAnsi="Times New Roman" w:cs="Times New Roman"/>
            <w:color w:val="000000" w:themeColor="text1"/>
            <w:sz w:val="24"/>
            <w:szCs w:val="24"/>
          </w:rPr>
          <w:t>Low blood pressure</w:t>
        </w:r>
      </w:hyperlink>
      <w:r w:rsidRPr="004C2694">
        <w:rPr>
          <w:rFonts w:ascii="Times New Roman" w:eastAsia="Times New Roman" w:hAnsi="Times New Roman" w:cs="Times New Roman"/>
          <w:color w:val="000000" w:themeColor="text1"/>
          <w:sz w:val="24"/>
          <w:szCs w:val="24"/>
        </w:rPr>
        <w:t>.</w:t>
      </w:r>
    </w:p>
    <w:p w:rsidR="004C2694" w:rsidRP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hyperlink r:id="rId11" w:tgtFrame="_blank" w:history="1">
        <w:r w:rsidRPr="004C2694">
          <w:rPr>
            <w:rFonts w:ascii="Times New Roman" w:eastAsia="Times New Roman" w:hAnsi="Times New Roman" w:cs="Times New Roman"/>
            <w:color w:val="000000" w:themeColor="text1"/>
            <w:sz w:val="24"/>
            <w:szCs w:val="24"/>
          </w:rPr>
          <w:t>Osteoporosis</w:t>
        </w:r>
      </w:hyperlink>
    </w:p>
    <w:p w:rsid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r w:rsidRPr="004C2694">
        <w:rPr>
          <w:rFonts w:ascii="Times New Roman" w:eastAsia="Times New Roman" w:hAnsi="Times New Roman" w:cs="Times New Roman"/>
          <w:color w:val="000000" w:themeColor="text1"/>
          <w:sz w:val="24"/>
          <w:szCs w:val="24"/>
        </w:rPr>
        <w:t>Water retention.</w:t>
      </w:r>
    </w:p>
    <w:p w:rsid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Nipple discharge</w:t>
      </w:r>
    </w:p>
    <w:p w:rsid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Weight gain</w:t>
      </w:r>
    </w:p>
    <w:p w:rsidR="004C2694" w:rsidRPr="004C2694" w:rsidRDefault="004C2694" w:rsidP="00647FF7">
      <w:pPr>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Stroke</w:t>
      </w:r>
    </w:p>
    <w:p w:rsidR="004C2694" w:rsidRDefault="00CE7DFC" w:rsidP="004C2694">
      <w:pPr>
        <w:pStyle w:val="NormalWeb"/>
        <w:shd w:val="clear" w:color="auto" w:fill="FFFFFF"/>
        <w:rPr>
          <w:color w:val="000000" w:themeColor="text1"/>
        </w:rPr>
      </w:pPr>
      <w:r>
        <w:rPr>
          <w:color w:val="000000" w:themeColor="text1"/>
        </w:rPr>
        <w:t>References</w:t>
      </w:r>
    </w:p>
    <w:p w:rsidR="00CE7DFC" w:rsidRPr="00CE7DFC" w:rsidRDefault="00CE7DFC" w:rsidP="004C2694">
      <w:pPr>
        <w:pStyle w:val="NormalWeb"/>
        <w:shd w:val="clear" w:color="auto" w:fill="FFFFFF"/>
        <w:rPr>
          <w:color w:val="222222"/>
          <w:shd w:val="clear" w:color="auto" w:fill="FFFFFF"/>
        </w:rPr>
      </w:pPr>
      <w:r w:rsidRPr="00CE7DFC">
        <w:rPr>
          <w:color w:val="222222"/>
          <w:shd w:val="clear" w:color="auto" w:fill="FFFFFF"/>
        </w:rPr>
        <w:t>D</w:t>
      </w:r>
      <w:r w:rsidRPr="00CE7DFC">
        <w:rPr>
          <w:color w:val="222222"/>
          <w:shd w:val="clear" w:color="auto" w:fill="FFFFFF"/>
        </w:rPr>
        <w:t>en Heijer, M., Bakker, A., &amp; Gooren, L. (2017). Long term hormonal treatment for transgender people. </w:t>
      </w:r>
      <w:r w:rsidRPr="00CE7DFC">
        <w:rPr>
          <w:i/>
          <w:iCs/>
          <w:color w:val="222222"/>
          <w:shd w:val="clear" w:color="auto" w:fill="FFFFFF"/>
        </w:rPr>
        <w:t>Bmj</w:t>
      </w:r>
      <w:r w:rsidRPr="00CE7DFC">
        <w:rPr>
          <w:color w:val="222222"/>
          <w:shd w:val="clear" w:color="auto" w:fill="FFFFFF"/>
        </w:rPr>
        <w:t>, </w:t>
      </w:r>
      <w:r w:rsidRPr="00CE7DFC">
        <w:rPr>
          <w:i/>
          <w:iCs/>
          <w:color w:val="222222"/>
          <w:shd w:val="clear" w:color="auto" w:fill="FFFFFF"/>
        </w:rPr>
        <w:t>359</w:t>
      </w:r>
      <w:r w:rsidRPr="00CE7DFC">
        <w:rPr>
          <w:color w:val="222222"/>
          <w:shd w:val="clear" w:color="auto" w:fill="FFFFFF"/>
        </w:rPr>
        <w:t>.</w:t>
      </w:r>
    </w:p>
    <w:p w:rsidR="00CE7DFC" w:rsidRPr="00CE7DFC" w:rsidRDefault="00CE7DFC" w:rsidP="004C2694">
      <w:pPr>
        <w:pStyle w:val="NormalWeb"/>
        <w:shd w:val="clear" w:color="auto" w:fill="FFFFFF"/>
        <w:rPr>
          <w:color w:val="000000" w:themeColor="text1"/>
        </w:rPr>
      </w:pPr>
      <w:r w:rsidRPr="00CE7DFC">
        <w:rPr>
          <w:color w:val="222222"/>
          <w:shd w:val="clear" w:color="auto" w:fill="FFFFFF"/>
        </w:rPr>
        <w:t>Castañeda, C. (2015). Developing gender: The medical treatment of transgender young people. </w:t>
      </w:r>
      <w:r w:rsidRPr="00CE7DFC">
        <w:rPr>
          <w:i/>
          <w:iCs/>
          <w:color w:val="222222"/>
          <w:shd w:val="clear" w:color="auto" w:fill="FFFFFF"/>
        </w:rPr>
        <w:t>Social Science &amp; Medicine</w:t>
      </w:r>
      <w:r w:rsidRPr="00CE7DFC">
        <w:rPr>
          <w:color w:val="222222"/>
          <w:shd w:val="clear" w:color="auto" w:fill="FFFFFF"/>
        </w:rPr>
        <w:t>, </w:t>
      </w:r>
      <w:r w:rsidRPr="00CE7DFC">
        <w:rPr>
          <w:i/>
          <w:iCs/>
          <w:color w:val="222222"/>
          <w:shd w:val="clear" w:color="auto" w:fill="FFFFFF"/>
        </w:rPr>
        <w:t>143</w:t>
      </w:r>
      <w:r w:rsidRPr="00CE7DFC">
        <w:rPr>
          <w:color w:val="222222"/>
          <w:shd w:val="clear" w:color="auto" w:fill="FFFFFF"/>
        </w:rPr>
        <w:t>, 262-270.</w:t>
      </w:r>
    </w:p>
    <w:p w:rsidR="00647FF7" w:rsidRPr="004C2694" w:rsidRDefault="00647FF7" w:rsidP="004C2694">
      <w:pPr>
        <w:pStyle w:val="NormalWeb"/>
        <w:shd w:val="clear" w:color="auto" w:fill="FFFFFF"/>
        <w:rPr>
          <w:color w:val="000000" w:themeColor="text1"/>
        </w:rPr>
      </w:pPr>
    </w:p>
    <w:p w:rsidR="00FE2E88" w:rsidRPr="00FE2E88" w:rsidRDefault="00FE2E88" w:rsidP="00FE2E88">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
    <w:p w:rsidR="00E5649B" w:rsidRPr="00310E35" w:rsidRDefault="00E5649B">
      <w:pPr>
        <w:rPr>
          <w:rFonts w:ascii="Times New Roman" w:hAnsi="Times New Roman" w:cs="Times New Roman"/>
          <w:sz w:val="24"/>
          <w:szCs w:val="24"/>
        </w:rPr>
      </w:pPr>
      <w:bookmarkStart w:id="0" w:name="_GoBack"/>
      <w:bookmarkEnd w:id="0"/>
    </w:p>
    <w:sectPr w:rsidR="00E5649B" w:rsidRPr="00310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A59E0"/>
    <w:multiLevelType w:val="hybridMultilevel"/>
    <w:tmpl w:val="D3B6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936C1"/>
    <w:multiLevelType w:val="multilevel"/>
    <w:tmpl w:val="7D18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295385"/>
    <w:multiLevelType w:val="multilevel"/>
    <w:tmpl w:val="E2C2E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E4794E"/>
    <w:multiLevelType w:val="multilevel"/>
    <w:tmpl w:val="FE3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C74629"/>
    <w:multiLevelType w:val="multilevel"/>
    <w:tmpl w:val="CB8AE6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60363F23"/>
    <w:multiLevelType w:val="multilevel"/>
    <w:tmpl w:val="DB20F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BE00DA"/>
    <w:multiLevelType w:val="multilevel"/>
    <w:tmpl w:val="AFDE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60451A"/>
    <w:multiLevelType w:val="multilevel"/>
    <w:tmpl w:val="4FD0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6"/>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35"/>
    <w:rsid w:val="000B491B"/>
    <w:rsid w:val="00310E35"/>
    <w:rsid w:val="004C2694"/>
    <w:rsid w:val="00647FF7"/>
    <w:rsid w:val="006D572E"/>
    <w:rsid w:val="009416F4"/>
    <w:rsid w:val="00CE7DFC"/>
    <w:rsid w:val="00E309A5"/>
    <w:rsid w:val="00E5649B"/>
    <w:rsid w:val="00FE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D572E"/>
    <w:rPr>
      <w:i/>
      <w:iCs/>
    </w:rPr>
  </w:style>
  <w:style w:type="paragraph" w:styleId="ListParagraph">
    <w:name w:val="List Paragraph"/>
    <w:basedOn w:val="Normal"/>
    <w:uiPriority w:val="34"/>
    <w:qFormat/>
    <w:rsid w:val="006D572E"/>
    <w:pPr>
      <w:ind w:left="720"/>
      <w:contextualSpacing/>
    </w:pPr>
  </w:style>
  <w:style w:type="paragraph" w:styleId="NormalWeb">
    <w:name w:val="Normal (Web)"/>
    <w:basedOn w:val="Normal"/>
    <w:uiPriority w:val="99"/>
    <w:unhideWhenUsed/>
    <w:rsid w:val="004C2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26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D572E"/>
    <w:rPr>
      <w:i/>
      <w:iCs/>
    </w:rPr>
  </w:style>
  <w:style w:type="paragraph" w:styleId="ListParagraph">
    <w:name w:val="List Paragraph"/>
    <w:basedOn w:val="Normal"/>
    <w:uiPriority w:val="34"/>
    <w:qFormat/>
    <w:rsid w:val="006D572E"/>
    <w:pPr>
      <w:ind w:left="720"/>
      <w:contextualSpacing/>
    </w:pPr>
  </w:style>
  <w:style w:type="paragraph" w:styleId="NormalWeb">
    <w:name w:val="Normal (Web)"/>
    <w:basedOn w:val="Normal"/>
    <w:uiPriority w:val="99"/>
    <w:unhideWhenUsed/>
    <w:rsid w:val="004C2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26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0550">
      <w:bodyDiv w:val="1"/>
      <w:marLeft w:val="0"/>
      <w:marRight w:val="0"/>
      <w:marTop w:val="0"/>
      <w:marBottom w:val="0"/>
      <w:divBdr>
        <w:top w:val="none" w:sz="0" w:space="0" w:color="auto"/>
        <w:left w:val="none" w:sz="0" w:space="0" w:color="auto"/>
        <w:bottom w:val="none" w:sz="0" w:space="0" w:color="auto"/>
        <w:right w:val="none" w:sz="0" w:space="0" w:color="auto"/>
      </w:divBdr>
      <w:divsChild>
        <w:div w:id="503938026">
          <w:marLeft w:val="0"/>
          <w:marRight w:val="0"/>
          <w:marTop w:val="0"/>
          <w:marBottom w:val="0"/>
          <w:divBdr>
            <w:top w:val="none" w:sz="0" w:space="0" w:color="auto"/>
            <w:left w:val="none" w:sz="0" w:space="0" w:color="auto"/>
            <w:bottom w:val="none" w:sz="0" w:space="0" w:color="auto"/>
            <w:right w:val="none" w:sz="0" w:space="0" w:color="auto"/>
          </w:divBdr>
        </w:div>
      </w:divsChild>
    </w:div>
    <w:div w:id="319382381">
      <w:bodyDiv w:val="1"/>
      <w:marLeft w:val="0"/>
      <w:marRight w:val="0"/>
      <w:marTop w:val="0"/>
      <w:marBottom w:val="0"/>
      <w:divBdr>
        <w:top w:val="none" w:sz="0" w:space="0" w:color="auto"/>
        <w:left w:val="none" w:sz="0" w:space="0" w:color="auto"/>
        <w:bottom w:val="none" w:sz="0" w:space="0" w:color="auto"/>
        <w:right w:val="none" w:sz="0" w:space="0" w:color="auto"/>
      </w:divBdr>
    </w:div>
    <w:div w:id="589655446">
      <w:bodyDiv w:val="1"/>
      <w:marLeft w:val="0"/>
      <w:marRight w:val="0"/>
      <w:marTop w:val="0"/>
      <w:marBottom w:val="0"/>
      <w:divBdr>
        <w:top w:val="none" w:sz="0" w:space="0" w:color="auto"/>
        <w:left w:val="none" w:sz="0" w:space="0" w:color="auto"/>
        <w:bottom w:val="none" w:sz="0" w:space="0" w:color="auto"/>
        <w:right w:val="none" w:sz="0" w:space="0" w:color="auto"/>
      </w:divBdr>
    </w:div>
    <w:div w:id="913322197">
      <w:bodyDiv w:val="1"/>
      <w:marLeft w:val="0"/>
      <w:marRight w:val="0"/>
      <w:marTop w:val="0"/>
      <w:marBottom w:val="0"/>
      <w:divBdr>
        <w:top w:val="none" w:sz="0" w:space="0" w:color="auto"/>
        <w:left w:val="none" w:sz="0" w:space="0" w:color="auto"/>
        <w:bottom w:val="none" w:sz="0" w:space="0" w:color="auto"/>
        <w:right w:val="none" w:sz="0" w:space="0" w:color="auto"/>
      </w:divBdr>
    </w:div>
    <w:div w:id="922880183">
      <w:bodyDiv w:val="1"/>
      <w:marLeft w:val="0"/>
      <w:marRight w:val="0"/>
      <w:marTop w:val="0"/>
      <w:marBottom w:val="0"/>
      <w:divBdr>
        <w:top w:val="none" w:sz="0" w:space="0" w:color="auto"/>
        <w:left w:val="none" w:sz="0" w:space="0" w:color="auto"/>
        <w:bottom w:val="none" w:sz="0" w:space="0" w:color="auto"/>
        <w:right w:val="none" w:sz="0" w:space="0" w:color="auto"/>
      </w:divBdr>
    </w:div>
    <w:div w:id="1821728345">
      <w:bodyDiv w:val="1"/>
      <w:marLeft w:val="0"/>
      <w:marRight w:val="0"/>
      <w:marTop w:val="0"/>
      <w:marBottom w:val="0"/>
      <w:divBdr>
        <w:top w:val="none" w:sz="0" w:space="0" w:color="auto"/>
        <w:left w:val="none" w:sz="0" w:space="0" w:color="auto"/>
        <w:bottom w:val="none" w:sz="0" w:space="0" w:color="auto"/>
        <w:right w:val="none" w:sz="0" w:space="0" w:color="auto"/>
      </w:divBdr>
    </w:div>
    <w:div w:id="1851986469">
      <w:bodyDiv w:val="1"/>
      <w:marLeft w:val="0"/>
      <w:marRight w:val="0"/>
      <w:marTop w:val="0"/>
      <w:marBottom w:val="0"/>
      <w:divBdr>
        <w:top w:val="none" w:sz="0" w:space="0" w:color="auto"/>
        <w:left w:val="none" w:sz="0" w:space="0" w:color="auto"/>
        <w:bottom w:val="none" w:sz="0" w:space="0" w:color="auto"/>
        <w:right w:val="none" w:sz="0" w:space="0" w:color="auto"/>
      </w:divBdr>
    </w:div>
    <w:div w:id="18537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levelandclinic.org/health/diseases/4314-hypertension-high-blood-pressur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y.clevelandclinic.org/health/diseases/9815-hyperglycemia-high-blood-sug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levelandclinic.org/health/diseases/16911-deep-vein-thrombosis-dvt" TargetMode="External"/><Relationship Id="rId11" Type="http://schemas.openxmlformats.org/officeDocument/2006/relationships/hyperlink" Target="https://my.clevelandclinic.org/health/diseases/4443-osteoporosis" TargetMode="External"/><Relationship Id="rId5" Type="http://schemas.openxmlformats.org/officeDocument/2006/relationships/webSettings" Target="webSettings.xml"/><Relationship Id="rId10" Type="http://schemas.openxmlformats.org/officeDocument/2006/relationships/hyperlink" Target="https://my.clevelandclinic.org/health/diseases/21156-low-blood-pressure-hypotension" TargetMode="External"/><Relationship Id="rId4" Type="http://schemas.openxmlformats.org/officeDocument/2006/relationships/settings" Target="settings.xml"/><Relationship Id="rId9" Type="http://schemas.openxmlformats.org/officeDocument/2006/relationships/hyperlink" Target="https://my.clevelandclinic.org/health/diseases/15184-hyperkalemia-high-blood-potass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2022-08-30T17:15:00Z</dcterms:created>
  <dcterms:modified xsi:type="dcterms:W3CDTF">2022-08-30T17:15:00Z</dcterms:modified>
</cp:coreProperties>
</file>