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1B" w:rsidRPr="00920253" w:rsidRDefault="00A7101B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253">
        <w:rPr>
          <w:rFonts w:ascii="Times New Roman" w:hAnsi="Times New Roman" w:cs="Times New Roman"/>
          <w:b/>
          <w:sz w:val="24"/>
          <w:szCs w:val="24"/>
        </w:rPr>
        <w:t xml:space="preserve">Week 1 Discussion 4: Prescription Writing </w:t>
      </w:r>
    </w:p>
    <w:p w:rsidR="00A4587A" w:rsidRPr="00920253" w:rsidRDefault="00A4587A" w:rsidP="009202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253">
        <w:rPr>
          <w:rFonts w:ascii="Times New Roman" w:hAnsi="Times New Roman" w:cs="Times New Roman"/>
          <w:sz w:val="24"/>
          <w:szCs w:val="24"/>
        </w:rPr>
        <w:t>It is significant to note that prescription writing is a significant part of the care provision process</w:t>
      </w:r>
      <w:r w:rsidR="00BD7BEC" w:rsidRPr="00920253">
        <w:rPr>
          <w:rFonts w:ascii="Times New Roman" w:hAnsi="Times New Roman" w:cs="Times New Roman"/>
          <w:sz w:val="24"/>
          <w:szCs w:val="24"/>
        </w:rPr>
        <w:t xml:space="preserve">. Efficient prescription writing serves as an adequate communication </w:t>
      </w:r>
      <w:r w:rsidR="00E74182" w:rsidRPr="00920253">
        <w:rPr>
          <w:rFonts w:ascii="Times New Roman" w:hAnsi="Times New Roman" w:cs="Times New Roman"/>
          <w:sz w:val="24"/>
          <w:szCs w:val="24"/>
        </w:rPr>
        <w:t xml:space="preserve">for ensuring that the patients receives the right medications to help in addressing their health issues. </w:t>
      </w:r>
      <w:r w:rsidR="00013A6C" w:rsidRPr="00920253">
        <w:rPr>
          <w:rFonts w:ascii="Times New Roman" w:hAnsi="Times New Roman" w:cs="Times New Roman"/>
          <w:sz w:val="24"/>
          <w:szCs w:val="24"/>
        </w:rPr>
        <w:t xml:space="preserve">Research notes that </w:t>
      </w:r>
      <w:r w:rsidR="001A4851" w:rsidRPr="00920253">
        <w:rPr>
          <w:rFonts w:ascii="Times New Roman" w:hAnsi="Times New Roman" w:cs="Times New Roman"/>
          <w:sz w:val="24"/>
          <w:szCs w:val="24"/>
        </w:rPr>
        <w:t>poo</w:t>
      </w:r>
      <w:r w:rsidR="00644C80" w:rsidRPr="00920253">
        <w:rPr>
          <w:rFonts w:ascii="Times New Roman" w:hAnsi="Times New Roman" w:cs="Times New Roman"/>
          <w:sz w:val="24"/>
          <w:szCs w:val="24"/>
        </w:rPr>
        <w:t>r</w:t>
      </w:r>
      <w:r w:rsidR="001A4851" w:rsidRPr="00920253">
        <w:rPr>
          <w:rFonts w:ascii="Times New Roman" w:hAnsi="Times New Roman" w:cs="Times New Roman"/>
          <w:sz w:val="24"/>
          <w:szCs w:val="24"/>
        </w:rPr>
        <w:t xml:space="preserve">ly written prescription results in medication </w:t>
      </w:r>
      <w:r w:rsidR="00C96899" w:rsidRPr="00920253">
        <w:rPr>
          <w:rFonts w:ascii="Times New Roman" w:hAnsi="Times New Roman" w:cs="Times New Roman"/>
          <w:sz w:val="24"/>
          <w:szCs w:val="24"/>
        </w:rPr>
        <w:t xml:space="preserve">errors, which are approximated to </w:t>
      </w:r>
      <w:r w:rsidR="00DD637B" w:rsidRPr="00920253">
        <w:rPr>
          <w:rFonts w:ascii="Times New Roman" w:hAnsi="Times New Roman" w:cs="Times New Roman"/>
          <w:sz w:val="24"/>
          <w:szCs w:val="24"/>
        </w:rPr>
        <w:t xml:space="preserve">result in </w:t>
      </w:r>
      <w:r w:rsidR="00DD637B" w:rsidRPr="00920253">
        <w:rPr>
          <w:rFonts w:ascii="Times New Roman" w:hAnsi="Times New Roman" w:cs="Times New Roman"/>
          <w:sz w:val="24"/>
          <w:szCs w:val="24"/>
        </w:rPr>
        <w:t>1.3 million injuries and 7,000 deaths occur each year in the U.S.</w:t>
      </w:r>
      <w:r w:rsidR="00DD637B" w:rsidRPr="00920253">
        <w:rPr>
          <w:rFonts w:ascii="Times New Roman" w:hAnsi="Times New Roman" w:cs="Times New Roman"/>
          <w:sz w:val="24"/>
          <w:szCs w:val="24"/>
        </w:rPr>
        <w:t xml:space="preserve"> </w:t>
      </w:r>
      <w:r w:rsidR="00184CF0" w:rsidRPr="00920253">
        <w:rPr>
          <w:rFonts w:ascii="Times New Roman" w:hAnsi="Times New Roman" w:cs="Times New Roman"/>
          <w:sz w:val="24"/>
          <w:szCs w:val="24"/>
        </w:rPr>
        <w:t xml:space="preserve">The course material revealed that the </w:t>
      </w:r>
      <w:r w:rsidR="00644C80" w:rsidRPr="00920253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DE1E4D" w:rsidRPr="00920253">
        <w:rPr>
          <w:rFonts w:ascii="Times New Roman" w:hAnsi="Times New Roman" w:cs="Times New Roman"/>
          <w:sz w:val="24"/>
          <w:szCs w:val="24"/>
        </w:rPr>
        <w:t>negative consequences that can arise from prescription is adverse drug reaction. The literature not</w:t>
      </w:r>
      <w:r w:rsidR="00C331A8" w:rsidRPr="00920253">
        <w:rPr>
          <w:rFonts w:ascii="Times New Roman" w:hAnsi="Times New Roman" w:cs="Times New Roman"/>
          <w:sz w:val="24"/>
          <w:szCs w:val="24"/>
        </w:rPr>
        <w:t>e</w:t>
      </w:r>
      <w:r w:rsidR="00DE1E4D" w:rsidRPr="00920253">
        <w:rPr>
          <w:rFonts w:ascii="Times New Roman" w:hAnsi="Times New Roman" w:cs="Times New Roman"/>
          <w:sz w:val="24"/>
          <w:szCs w:val="24"/>
        </w:rPr>
        <w:t xml:space="preserve">d that an adverse </w:t>
      </w:r>
      <w:r w:rsidR="00557736" w:rsidRPr="00920253">
        <w:rPr>
          <w:rFonts w:ascii="Times New Roman" w:hAnsi="Times New Roman" w:cs="Times New Roman"/>
          <w:sz w:val="24"/>
          <w:szCs w:val="24"/>
        </w:rPr>
        <w:t xml:space="preserve">drug reaction is an appreciably </w:t>
      </w:r>
      <w:r w:rsidR="009C689C" w:rsidRPr="00920253">
        <w:rPr>
          <w:rFonts w:ascii="Times New Roman" w:hAnsi="Times New Roman" w:cs="Times New Roman"/>
          <w:sz w:val="24"/>
          <w:szCs w:val="24"/>
        </w:rPr>
        <w:t xml:space="preserve">harmful or </w:t>
      </w:r>
      <w:r w:rsidR="00766B23" w:rsidRPr="00920253">
        <w:rPr>
          <w:rFonts w:ascii="Times New Roman" w:hAnsi="Times New Roman" w:cs="Times New Roman"/>
          <w:sz w:val="24"/>
          <w:szCs w:val="24"/>
        </w:rPr>
        <w:t xml:space="preserve">unpleasant reaction </w:t>
      </w:r>
      <w:r w:rsidR="00274CC5" w:rsidRPr="00920253">
        <w:rPr>
          <w:rFonts w:ascii="Times New Roman" w:hAnsi="Times New Roman" w:cs="Times New Roman"/>
          <w:sz w:val="24"/>
          <w:szCs w:val="24"/>
        </w:rPr>
        <w:t>resulting from an intervention linked to the use of a medicinal product (</w:t>
      </w:r>
      <w:r w:rsidR="00C90F06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Patton</w:t>
      </w:r>
      <w:r w:rsidR="00920253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90F06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&amp; </w:t>
      </w:r>
      <w:proofErr w:type="spellStart"/>
      <w:r w:rsidR="00C90F06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Borshoff</w:t>
      </w:r>
      <w:proofErr w:type="spellEnd"/>
      <w:r w:rsidR="00C90F06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2018</w:t>
      </w:r>
      <w:r w:rsidR="00274CC5" w:rsidRPr="00920253">
        <w:rPr>
          <w:rFonts w:ascii="Times New Roman" w:hAnsi="Times New Roman" w:cs="Times New Roman"/>
          <w:sz w:val="24"/>
          <w:szCs w:val="24"/>
        </w:rPr>
        <w:t xml:space="preserve">). Adverse drug reaction is utilized to include the reactions occurring as </w:t>
      </w:r>
      <w:r w:rsidR="00DE6586" w:rsidRPr="00920253">
        <w:rPr>
          <w:rFonts w:ascii="Times New Roman" w:hAnsi="Times New Roman" w:cs="Times New Roman"/>
          <w:sz w:val="24"/>
          <w:szCs w:val="24"/>
        </w:rPr>
        <w:t>a result of misuse or abuse</w:t>
      </w:r>
      <w:r w:rsidR="005E7EC2" w:rsidRPr="00920253">
        <w:rPr>
          <w:rFonts w:ascii="Times New Roman" w:hAnsi="Times New Roman" w:cs="Times New Roman"/>
          <w:sz w:val="24"/>
          <w:szCs w:val="24"/>
        </w:rPr>
        <w:t xml:space="preserve">, error, as well as to suspected reactions to medicines that are unlicensed </w:t>
      </w:r>
      <w:r w:rsidR="00621937" w:rsidRPr="00920253">
        <w:rPr>
          <w:rFonts w:ascii="Times New Roman" w:hAnsi="Times New Roman" w:cs="Times New Roman"/>
          <w:sz w:val="24"/>
          <w:szCs w:val="24"/>
        </w:rPr>
        <w:t>or being used off label (</w:t>
      </w:r>
      <w:r w:rsidR="00920253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Patton &amp; </w:t>
      </w:r>
      <w:proofErr w:type="spellStart"/>
      <w:r w:rsidR="00920253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Borshoff</w:t>
      </w:r>
      <w:proofErr w:type="spellEnd"/>
      <w:r w:rsidR="00920253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2018</w:t>
      </w:r>
      <w:r w:rsidR="00621937" w:rsidRPr="00920253">
        <w:rPr>
          <w:rFonts w:ascii="Times New Roman" w:hAnsi="Times New Roman" w:cs="Times New Roman"/>
          <w:sz w:val="24"/>
          <w:szCs w:val="24"/>
        </w:rPr>
        <w:t xml:space="preserve">). </w:t>
      </w:r>
      <w:r w:rsidR="00304276" w:rsidRPr="00920253">
        <w:rPr>
          <w:rFonts w:ascii="Times New Roman" w:hAnsi="Times New Roman" w:cs="Times New Roman"/>
          <w:sz w:val="24"/>
          <w:szCs w:val="24"/>
        </w:rPr>
        <w:t xml:space="preserve">In considering the </w:t>
      </w:r>
      <w:r w:rsidR="002B36DF" w:rsidRPr="00920253">
        <w:rPr>
          <w:rFonts w:ascii="Times New Roman" w:hAnsi="Times New Roman" w:cs="Times New Roman"/>
          <w:sz w:val="24"/>
          <w:szCs w:val="24"/>
        </w:rPr>
        <w:t xml:space="preserve">adverse drug reactions linked to prescriptions, one can </w:t>
      </w:r>
      <w:r w:rsidR="00B949D0" w:rsidRPr="00920253">
        <w:rPr>
          <w:rFonts w:ascii="Times New Roman" w:hAnsi="Times New Roman" w:cs="Times New Roman"/>
          <w:sz w:val="24"/>
          <w:szCs w:val="24"/>
        </w:rPr>
        <w:t>classify the reaction in respect to the dose of the drug, the time course of the reaction and re</w:t>
      </w:r>
      <w:r w:rsidR="00BD6E0B" w:rsidRPr="00920253">
        <w:rPr>
          <w:rFonts w:ascii="Times New Roman" w:hAnsi="Times New Roman" w:cs="Times New Roman"/>
          <w:sz w:val="24"/>
          <w:szCs w:val="24"/>
        </w:rPr>
        <w:t xml:space="preserve">levant susceptibility factors including the pathological differences. </w:t>
      </w:r>
    </w:p>
    <w:p w:rsidR="00AB3A1C" w:rsidRPr="00920253" w:rsidRDefault="00EB5AA4" w:rsidP="009202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253">
        <w:rPr>
          <w:rFonts w:ascii="Times New Roman" w:hAnsi="Times New Roman" w:cs="Times New Roman"/>
          <w:sz w:val="24"/>
          <w:szCs w:val="24"/>
        </w:rPr>
        <w:t>While exploring on the prescription of medication to patients, I came across the content of the five rights of medication. Research notes that the ‘</w:t>
      </w:r>
      <w:r w:rsidR="00DF6586" w:rsidRPr="00920253">
        <w:rPr>
          <w:rFonts w:ascii="Times New Roman" w:hAnsi="Times New Roman" w:cs="Times New Roman"/>
          <w:sz w:val="24"/>
          <w:szCs w:val="24"/>
        </w:rPr>
        <w:t>five rights</w:t>
      </w:r>
      <w:r w:rsidRPr="00920253">
        <w:rPr>
          <w:rFonts w:ascii="Times New Roman" w:hAnsi="Times New Roman" w:cs="Times New Roman"/>
          <w:sz w:val="24"/>
          <w:szCs w:val="24"/>
        </w:rPr>
        <w:t>’</w:t>
      </w:r>
      <w:r w:rsidR="009D627B" w:rsidRPr="00920253">
        <w:rPr>
          <w:rFonts w:ascii="Times New Roman" w:hAnsi="Times New Roman" w:cs="Times New Roman"/>
          <w:sz w:val="24"/>
          <w:szCs w:val="24"/>
        </w:rPr>
        <w:t xml:space="preserve"> are well known by most of the healthcare providers including nurses, and involves: the right patient, the right drug, the right time, the right dose, and the right route</w:t>
      </w:r>
      <w:r w:rsidR="004903A7" w:rsidRPr="009202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4C18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Almario</w:t>
      </w:r>
      <w:proofErr w:type="spellEnd"/>
      <w:r w:rsidR="004F4C18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2022</w:t>
      </w:r>
      <w:r w:rsidR="004903A7" w:rsidRPr="00920253">
        <w:rPr>
          <w:rFonts w:ascii="Times New Roman" w:hAnsi="Times New Roman" w:cs="Times New Roman"/>
          <w:sz w:val="24"/>
          <w:szCs w:val="24"/>
        </w:rPr>
        <w:t xml:space="preserve">). Specifically, the five rights have been considered as the standard measure of enhancing safe medication practices, thus aids in preventing the occurrence of medication errors. </w:t>
      </w:r>
      <w:r w:rsidR="00B439DB" w:rsidRPr="00920253">
        <w:rPr>
          <w:rFonts w:ascii="Times New Roman" w:hAnsi="Times New Roman" w:cs="Times New Roman"/>
          <w:sz w:val="24"/>
          <w:szCs w:val="24"/>
        </w:rPr>
        <w:t>While exploring on the issue of the five right, I examined a research study by Hui (2018), on the use of benzodiazepines for agitation in patients with delirium</w:t>
      </w:r>
      <w:r w:rsidR="005E14EB" w:rsidRPr="00920253">
        <w:rPr>
          <w:rFonts w:ascii="Times New Roman" w:hAnsi="Times New Roman" w:cs="Times New Roman"/>
          <w:sz w:val="24"/>
          <w:szCs w:val="24"/>
        </w:rPr>
        <w:t xml:space="preserve">, and involved exploring the selection of the right patient, right time, and right </w:t>
      </w:r>
      <w:r w:rsidR="005E14EB" w:rsidRPr="00920253">
        <w:rPr>
          <w:rFonts w:ascii="Times New Roman" w:hAnsi="Times New Roman" w:cs="Times New Roman"/>
          <w:sz w:val="24"/>
          <w:szCs w:val="24"/>
        </w:rPr>
        <w:lastRenderedPageBreak/>
        <w:t xml:space="preserve">indication. This research study noted that the </w:t>
      </w:r>
      <w:r w:rsidR="004F3242" w:rsidRPr="00920253">
        <w:rPr>
          <w:rFonts w:ascii="Times New Roman" w:hAnsi="Times New Roman" w:cs="Times New Roman"/>
          <w:sz w:val="24"/>
          <w:szCs w:val="24"/>
        </w:rPr>
        <w:t xml:space="preserve">use of </w:t>
      </w:r>
      <w:r w:rsidR="00A10EA5" w:rsidRPr="00920253">
        <w:rPr>
          <w:rFonts w:ascii="Times New Roman" w:hAnsi="Times New Roman" w:cs="Times New Roman"/>
          <w:sz w:val="24"/>
          <w:szCs w:val="24"/>
        </w:rPr>
        <w:t>benzodiazepines</w:t>
      </w:r>
      <w:r w:rsidR="00A10EA5" w:rsidRPr="00920253">
        <w:rPr>
          <w:rFonts w:ascii="Times New Roman" w:hAnsi="Times New Roman" w:cs="Times New Roman"/>
          <w:sz w:val="24"/>
          <w:szCs w:val="24"/>
        </w:rPr>
        <w:t xml:space="preserve"> is recommended for two specific delirium settings that include: persistent agitation in patients with </w:t>
      </w:r>
      <w:r w:rsidR="001C0A5C" w:rsidRPr="00920253">
        <w:rPr>
          <w:rFonts w:ascii="Times New Roman" w:hAnsi="Times New Roman" w:cs="Times New Roman"/>
          <w:sz w:val="24"/>
          <w:szCs w:val="24"/>
        </w:rPr>
        <w:t xml:space="preserve">delirium tremens and terminal delirium (Hui, 2018). </w:t>
      </w:r>
      <w:r w:rsidR="00BD6AE5" w:rsidRPr="00920253">
        <w:rPr>
          <w:rFonts w:ascii="Times New Roman" w:hAnsi="Times New Roman" w:cs="Times New Roman"/>
          <w:sz w:val="24"/>
          <w:szCs w:val="24"/>
        </w:rPr>
        <w:t xml:space="preserve">The study further noted that </w:t>
      </w:r>
      <w:r w:rsidR="003309E9" w:rsidRPr="00920253">
        <w:rPr>
          <w:rFonts w:ascii="Times New Roman" w:hAnsi="Times New Roman" w:cs="Times New Roman"/>
          <w:sz w:val="24"/>
          <w:szCs w:val="24"/>
        </w:rPr>
        <w:t xml:space="preserve">in patients with refractory agitation, the medication can be administered as scheduled doses or continuous infusion for palliative </w:t>
      </w:r>
      <w:r w:rsidR="00252ED1" w:rsidRPr="00920253">
        <w:rPr>
          <w:rFonts w:ascii="Times New Roman" w:hAnsi="Times New Roman" w:cs="Times New Roman"/>
          <w:sz w:val="24"/>
          <w:szCs w:val="24"/>
        </w:rPr>
        <w:t>sedation (</w:t>
      </w:r>
      <w:r w:rsidR="00920253" w:rsidRPr="00920253">
        <w:rPr>
          <w:rFonts w:ascii="Times New Roman" w:hAnsi="Times New Roman" w:cs="Times New Roman"/>
          <w:sz w:val="24"/>
          <w:szCs w:val="24"/>
        </w:rPr>
        <w:t>Hui, 2018</w:t>
      </w:r>
      <w:r w:rsidR="00252ED1" w:rsidRPr="00920253">
        <w:rPr>
          <w:rFonts w:ascii="Times New Roman" w:hAnsi="Times New Roman" w:cs="Times New Roman"/>
          <w:sz w:val="24"/>
          <w:szCs w:val="24"/>
        </w:rPr>
        <w:t xml:space="preserve">). Nonetheless, this research study identified that delirium can be utilized </w:t>
      </w:r>
      <w:r w:rsidR="00DA085A" w:rsidRPr="00920253">
        <w:rPr>
          <w:rFonts w:ascii="Times New Roman" w:hAnsi="Times New Roman" w:cs="Times New Roman"/>
          <w:sz w:val="24"/>
          <w:szCs w:val="24"/>
        </w:rPr>
        <w:t>in the management of delirium secondary to alcohol withdrawal (</w:t>
      </w:r>
      <w:r w:rsidR="00920253" w:rsidRPr="00920253">
        <w:rPr>
          <w:rFonts w:ascii="Times New Roman" w:hAnsi="Times New Roman" w:cs="Times New Roman"/>
          <w:sz w:val="24"/>
          <w:szCs w:val="24"/>
        </w:rPr>
        <w:t>Hui, 2018</w:t>
      </w:r>
      <w:r w:rsidR="00DA085A" w:rsidRPr="00920253">
        <w:rPr>
          <w:rFonts w:ascii="Times New Roman" w:hAnsi="Times New Roman" w:cs="Times New Roman"/>
          <w:sz w:val="24"/>
          <w:szCs w:val="24"/>
        </w:rPr>
        <w:t xml:space="preserve">). </w:t>
      </w:r>
      <w:r w:rsidR="00BE7569" w:rsidRPr="00920253">
        <w:rPr>
          <w:rFonts w:ascii="Times New Roman" w:hAnsi="Times New Roman" w:cs="Times New Roman"/>
          <w:sz w:val="24"/>
          <w:szCs w:val="24"/>
        </w:rPr>
        <w:t xml:space="preserve">As such, it is noteworthy that the utilization and effectiveness of </w:t>
      </w:r>
      <w:r w:rsidR="00BE7569" w:rsidRPr="00920253">
        <w:rPr>
          <w:rFonts w:ascii="Times New Roman" w:hAnsi="Times New Roman" w:cs="Times New Roman"/>
          <w:sz w:val="24"/>
          <w:szCs w:val="24"/>
        </w:rPr>
        <w:t>benzodiazepines</w:t>
      </w:r>
      <w:r w:rsidR="00BE7569" w:rsidRPr="00920253">
        <w:rPr>
          <w:rFonts w:ascii="Times New Roman" w:hAnsi="Times New Roman" w:cs="Times New Roman"/>
          <w:sz w:val="24"/>
          <w:szCs w:val="24"/>
        </w:rPr>
        <w:t xml:space="preserve"> can only be realized following the selection of this medication for the right patient, right time and right indication. </w:t>
      </w:r>
    </w:p>
    <w:p w:rsidR="00C817A5" w:rsidRPr="00920253" w:rsidRDefault="00EF21D6" w:rsidP="0092025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0253">
        <w:rPr>
          <w:rFonts w:ascii="Times New Roman" w:hAnsi="Times New Roman" w:cs="Times New Roman"/>
          <w:sz w:val="24"/>
          <w:szCs w:val="24"/>
        </w:rPr>
        <w:t xml:space="preserve">A client </w:t>
      </w:r>
      <w:r w:rsidR="0013540C" w:rsidRPr="00920253">
        <w:rPr>
          <w:rFonts w:ascii="Times New Roman" w:hAnsi="Times New Roman" w:cs="Times New Roman"/>
          <w:sz w:val="24"/>
          <w:szCs w:val="24"/>
        </w:rPr>
        <w:t xml:space="preserve">(PW) </w:t>
      </w:r>
      <w:r w:rsidRPr="00920253">
        <w:rPr>
          <w:rFonts w:ascii="Times New Roman" w:hAnsi="Times New Roman" w:cs="Times New Roman"/>
          <w:sz w:val="24"/>
          <w:szCs w:val="24"/>
        </w:rPr>
        <w:t xml:space="preserve">presenting with </w:t>
      </w:r>
      <w:r w:rsidR="00C817A5" w:rsidRPr="00920253">
        <w:rPr>
          <w:rFonts w:ascii="Times New Roman" w:hAnsi="Times New Roman" w:cs="Times New Roman"/>
          <w:sz w:val="24"/>
          <w:szCs w:val="24"/>
        </w:rPr>
        <w:t xml:space="preserve">delirium and agitation, he or she can receive the following prescription from the care provider. </w:t>
      </w:r>
    </w:p>
    <w:p w:rsidR="0013540C" w:rsidRPr="00920253" w:rsidRDefault="00C817A5" w:rsidP="009202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0253">
        <w:rPr>
          <w:rFonts w:ascii="Times New Roman" w:hAnsi="Times New Roman" w:cs="Times New Roman"/>
          <w:sz w:val="24"/>
          <w:szCs w:val="24"/>
        </w:rPr>
        <w:t xml:space="preserve">Name: </w:t>
      </w:r>
      <w:r w:rsidR="0013540C" w:rsidRPr="00920253">
        <w:rPr>
          <w:rFonts w:ascii="Times New Roman" w:hAnsi="Times New Roman" w:cs="Times New Roman"/>
          <w:sz w:val="24"/>
          <w:szCs w:val="24"/>
        </w:rPr>
        <w:t xml:space="preserve">PW </w:t>
      </w:r>
      <w:r w:rsidR="0013540C" w:rsidRPr="00920253">
        <w:rPr>
          <w:rFonts w:ascii="Times New Roman" w:hAnsi="Times New Roman" w:cs="Times New Roman"/>
          <w:sz w:val="24"/>
          <w:szCs w:val="24"/>
        </w:rPr>
        <w:tab/>
      </w:r>
      <w:r w:rsidR="0013540C" w:rsidRPr="00920253">
        <w:rPr>
          <w:rFonts w:ascii="Times New Roman" w:hAnsi="Times New Roman" w:cs="Times New Roman"/>
          <w:sz w:val="24"/>
          <w:szCs w:val="24"/>
        </w:rPr>
        <w:tab/>
        <w:t xml:space="preserve">Age: </w:t>
      </w:r>
      <w:r w:rsidR="000D3169" w:rsidRPr="00920253">
        <w:rPr>
          <w:rFonts w:ascii="Times New Roman" w:hAnsi="Times New Roman" w:cs="Times New Roman"/>
          <w:sz w:val="24"/>
          <w:szCs w:val="24"/>
        </w:rPr>
        <w:t>13/10/</w:t>
      </w:r>
      <w:r w:rsidR="0013540C" w:rsidRPr="00920253">
        <w:rPr>
          <w:rFonts w:ascii="Times New Roman" w:hAnsi="Times New Roman" w:cs="Times New Roman"/>
          <w:sz w:val="24"/>
          <w:szCs w:val="24"/>
        </w:rPr>
        <w:t>1989</w:t>
      </w:r>
    </w:p>
    <w:p w:rsidR="0013540C" w:rsidRPr="00920253" w:rsidRDefault="008922CE" w:rsidP="009202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0253">
        <w:rPr>
          <w:rFonts w:ascii="Times New Roman" w:hAnsi="Times New Roman" w:cs="Times New Roman"/>
          <w:sz w:val="24"/>
          <w:szCs w:val="24"/>
        </w:rPr>
        <w:t>Halo</w:t>
      </w:r>
      <w:r w:rsidR="000D1A1D" w:rsidRPr="00920253">
        <w:rPr>
          <w:rFonts w:ascii="Times New Roman" w:hAnsi="Times New Roman" w:cs="Times New Roman"/>
          <w:sz w:val="24"/>
          <w:szCs w:val="24"/>
        </w:rPr>
        <w:t>peridol</w:t>
      </w:r>
      <w:r w:rsidR="000D1A1D"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D1A1D" w:rsidRPr="00920253">
        <w:rPr>
          <w:rFonts w:ascii="Times New Roman" w:hAnsi="Times New Roman" w:cs="Times New Roman"/>
          <w:sz w:val="24"/>
          <w:szCs w:val="24"/>
        </w:rPr>
        <w:t>2 mg intravenously every four hours with an additional 2 mg every hour</w:t>
      </w:r>
    </w:p>
    <w:p w:rsidR="000D1A1D" w:rsidRPr="00920253" w:rsidRDefault="00C37A6C" w:rsidP="009202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0253">
        <w:rPr>
          <w:rFonts w:ascii="Times New Roman" w:hAnsi="Times New Roman" w:cs="Times New Roman"/>
          <w:sz w:val="24"/>
          <w:szCs w:val="24"/>
        </w:rPr>
        <w:t>The dose (haloperidol lactate) is given by sequentially doubling the initial dose</w:t>
      </w:r>
      <w:r w:rsidR="00FD4041" w:rsidRPr="00920253">
        <w:rPr>
          <w:rFonts w:ascii="Times New Roman" w:hAnsi="Times New Roman" w:cs="Times New Roman"/>
          <w:sz w:val="24"/>
          <w:szCs w:val="24"/>
        </w:rPr>
        <w:t xml:space="preserve">; when calm achieved, administer 25% of last bolus dose every 6 hours; taper dose after the patient is controlled. </w:t>
      </w:r>
    </w:p>
    <w:p w:rsidR="00527145" w:rsidRPr="00920253" w:rsidRDefault="00FD4041" w:rsidP="009202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0253">
        <w:rPr>
          <w:rFonts w:ascii="Times New Roman" w:hAnsi="Times New Roman" w:cs="Times New Roman"/>
          <w:strike/>
          <w:sz w:val="24"/>
          <w:szCs w:val="24"/>
        </w:rPr>
        <w:t>M</w:t>
      </w:r>
      <w:r w:rsidR="000D3169" w:rsidRPr="00920253">
        <w:rPr>
          <w:rFonts w:ascii="Times New Roman" w:hAnsi="Times New Roman" w:cs="Times New Roman"/>
          <w:strike/>
          <w:sz w:val="24"/>
          <w:szCs w:val="24"/>
        </w:rPr>
        <w:t>martin</w:t>
      </w:r>
      <w:proofErr w:type="spellEnd"/>
      <w:r w:rsidR="000D3169" w:rsidRPr="00920253">
        <w:rPr>
          <w:rFonts w:ascii="Times New Roman" w:hAnsi="Times New Roman" w:cs="Times New Roman"/>
          <w:strike/>
          <w:sz w:val="24"/>
          <w:szCs w:val="24"/>
        </w:rPr>
        <w:t xml:space="preserve">  </w:t>
      </w:r>
      <w:r w:rsidR="000D3169" w:rsidRPr="00920253">
        <w:rPr>
          <w:rFonts w:ascii="Times New Roman" w:hAnsi="Times New Roman" w:cs="Times New Roman"/>
          <w:sz w:val="24"/>
          <w:szCs w:val="24"/>
        </w:rPr>
        <w:t xml:space="preserve">    </w:t>
      </w:r>
      <w:r w:rsidR="002F74DE" w:rsidRPr="00920253">
        <w:rPr>
          <w:rFonts w:ascii="Times New Roman" w:hAnsi="Times New Roman" w:cs="Times New Roman"/>
          <w:sz w:val="24"/>
          <w:szCs w:val="24"/>
        </w:rPr>
        <w:t xml:space="preserve">      </w:t>
      </w:r>
      <w:r w:rsidR="002F74DE" w:rsidRPr="00920253">
        <w:rPr>
          <w:rFonts w:ascii="Times New Roman" w:hAnsi="Times New Roman" w:cs="Times New Roman"/>
          <w:sz w:val="24"/>
          <w:szCs w:val="24"/>
        </w:rPr>
        <w:t>C</w:t>
      </w:r>
      <w:r w:rsidR="002F74DE" w:rsidRPr="00920253">
        <w:rPr>
          <w:rFonts w:ascii="Times New Roman" w:hAnsi="Times New Roman" w:cs="Times New Roman"/>
          <w:sz w:val="24"/>
          <w:szCs w:val="24"/>
        </w:rPr>
        <w:t>M</w:t>
      </w:r>
      <w:r w:rsidR="002F74DE" w:rsidRPr="00920253">
        <w:rPr>
          <w:rFonts w:ascii="Times New Roman" w:hAnsi="Times New Roman" w:cs="Times New Roman"/>
          <w:sz w:val="24"/>
          <w:szCs w:val="24"/>
        </w:rPr>
        <w:t>2756344.</w:t>
      </w:r>
    </w:p>
    <w:p w:rsidR="003D7553" w:rsidRDefault="00463B0C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253">
        <w:rPr>
          <w:rFonts w:ascii="Times New Roman" w:hAnsi="Times New Roman" w:cs="Times New Roman"/>
          <w:b/>
          <w:sz w:val="24"/>
          <w:szCs w:val="24"/>
        </w:rPr>
        <w:br/>
      </w:r>
    </w:p>
    <w:p w:rsidR="003D7553" w:rsidRDefault="003D7553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553" w:rsidRDefault="003D7553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553" w:rsidRDefault="003D7553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553" w:rsidRDefault="003D7553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553" w:rsidRDefault="003D7553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F56" w:rsidRPr="00920253" w:rsidRDefault="001D4CEA" w:rsidP="0092025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025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20253" w:rsidRPr="00920253" w:rsidRDefault="00920253" w:rsidP="00920253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Almario</w:t>
      </w:r>
      <w:proofErr w:type="spellEnd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E. N., </w:t>
      </w:r>
      <w:proofErr w:type="spellStart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Kettermann</w:t>
      </w:r>
      <w:proofErr w:type="spellEnd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&amp; </w:t>
      </w:r>
      <w:proofErr w:type="spellStart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Popat</w:t>
      </w:r>
      <w:proofErr w:type="spellEnd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V. (2022). Informatics in Medical Product Regulation: The Right Drug at the Right Dose for the Right Patient. </w:t>
      </w:r>
      <w:r w:rsidRPr="0092025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Methods in molecular biology (Clifton, N.J.)</w:t>
      </w:r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92025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2486</w:t>
      </w:r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277–314. </w:t>
      </w:r>
      <w:hyperlink r:id="rId4" w:history="1">
        <w:r w:rsidRPr="009202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https://doi.org/10.1007/978-1-0716-2265-0_14</w:t>
        </w:r>
      </w:hyperlink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920253" w:rsidRPr="00920253" w:rsidRDefault="00920253" w:rsidP="00920253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Hui D. (2018). Benzodiazepines for agitation in patients with delirium: selecting the right patient, right time, and right indication. </w:t>
      </w:r>
      <w:r w:rsidRPr="0092025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Current opinion in supportive and palliative care</w:t>
      </w:r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92025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12</w:t>
      </w:r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489–494. </w:t>
      </w:r>
      <w:hyperlink r:id="rId5" w:history="1">
        <w:r w:rsidRPr="009202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https://doi.org/10.1097/SPC.0000000000000395</w:t>
        </w:r>
      </w:hyperlink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920253" w:rsidRPr="00920253" w:rsidRDefault="00920253" w:rsidP="0092025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Patton, K., &amp; </w:t>
      </w:r>
      <w:proofErr w:type="spellStart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Borshoff</w:t>
      </w:r>
      <w:proofErr w:type="spellEnd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D. C. (2018). Adverse drug reactions. </w:t>
      </w:r>
      <w:proofErr w:type="spellStart"/>
      <w:r w:rsidRPr="0092025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Anaesthesia</w:t>
      </w:r>
      <w:proofErr w:type="spellEnd"/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92025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73 Suppl 1</w:t>
      </w:r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76–84. </w:t>
      </w:r>
      <w:hyperlink r:id="rId6" w:history="1">
        <w:r w:rsidRPr="009202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https://doi.org/10.1111/anae.14143</w:t>
        </w:r>
      </w:hyperlink>
      <w:r w:rsidRPr="00920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920253" w:rsidRPr="0092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0C"/>
    <w:rsid w:val="00013A6C"/>
    <w:rsid w:val="00051B31"/>
    <w:rsid w:val="000B6F56"/>
    <w:rsid w:val="000D1A1D"/>
    <w:rsid w:val="000D3169"/>
    <w:rsid w:val="000E6790"/>
    <w:rsid w:val="0013540C"/>
    <w:rsid w:val="00142E15"/>
    <w:rsid w:val="00184CF0"/>
    <w:rsid w:val="001A4851"/>
    <w:rsid w:val="001C0A5C"/>
    <w:rsid w:val="001D4CEA"/>
    <w:rsid w:val="00252ED1"/>
    <w:rsid w:val="00274CC5"/>
    <w:rsid w:val="002B36DF"/>
    <w:rsid w:val="002C161B"/>
    <w:rsid w:val="002F74DE"/>
    <w:rsid w:val="00304276"/>
    <w:rsid w:val="003309E9"/>
    <w:rsid w:val="003D7553"/>
    <w:rsid w:val="00463B0C"/>
    <w:rsid w:val="004903A7"/>
    <w:rsid w:val="004F3242"/>
    <w:rsid w:val="004F4C18"/>
    <w:rsid w:val="00527145"/>
    <w:rsid w:val="00557736"/>
    <w:rsid w:val="005E14EB"/>
    <w:rsid w:val="005E7EC2"/>
    <w:rsid w:val="00621937"/>
    <w:rsid w:val="006359EE"/>
    <w:rsid w:val="00644C80"/>
    <w:rsid w:val="006570A6"/>
    <w:rsid w:val="00766B23"/>
    <w:rsid w:val="00832600"/>
    <w:rsid w:val="00867DF5"/>
    <w:rsid w:val="008922CE"/>
    <w:rsid w:val="00920253"/>
    <w:rsid w:val="009C689C"/>
    <w:rsid w:val="009D627B"/>
    <w:rsid w:val="00A10EA5"/>
    <w:rsid w:val="00A12098"/>
    <w:rsid w:val="00A4587A"/>
    <w:rsid w:val="00A7101B"/>
    <w:rsid w:val="00AB3A1C"/>
    <w:rsid w:val="00B439DB"/>
    <w:rsid w:val="00B75A88"/>
    <w:rsid w:val="00B949D0"/>
    <w:rsid w:val="00BD6AE5"/>
    <w:rsid w:val="00BD6E0B"/>
    <w:rsid w:val="00BD7BEC"/>
    <w:rsid w:val="00BE7569"/>
    <w:rsid w:val="00C331A8"/>
    <w:rsid w:val="00C37A6C"/>
    <w:rsid w:val="00C65F38"/>
    <w:rsid w:val="00C817A5"/>
    <w:rsid w:val="00C90F06"/>
    <w:rsid w:val="00C96899"/>
    <w:rsid w:val="00D76E53"/>
    <w:rsid w:val="00DA085A"/>
    <w:rsid w:val="00DD637B"/>
    <w:rsid w:val="00DE1E4D"/>
    <w:rsid w:val="00DE6586"/>
    <w:rsid w:val="00DF6586"/>
    <w:rsid w:val="00E12140"/>
    <w:rsid w:val="00E416AE"/>
    <w:rsid w:val="00E74182"/>
    <w:rsid w:val="00EB5AA4"/>
    <w:rsid w:val="00EF21D6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0D93"/>
  <w15:chartTrackingRefBased/>
  <w15:docId w15:val="{F8F41DED-EE6B-453F-B3C3-69B6BAAC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C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anae.14143" TargetMode="External"/><Relationship Id="rId5" Type="http://schemas.openxmlformats.org/officeDocument/2006/relationships/hyperlink" Target="https://doi.org/10.1097/SPC.0000000000000395" TargetMode="External"/><Relationship Id="rId4" Type="http://schemas.openxmlformats.org/officeDocument/2006/relationships/hyperlink" Target="https://doi.org/10.1007/978-1-0716-2265-0_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2022-08-31T06:07:00Z</dcterms:created>
  <dcterms:modified xsi:type="dcterms:W3CDTF">2022-08-31T13:46:00Z</dcterms:modified>
</cp:coreProperties>
</file>