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63" w:rsidRPr="001D6848" w:rsidRDefault="00FE26ED" w:rsidP="001D6848">
      <w:pPr>
        <w:spacing w:after="0" w:line="480" w:lineRule="auto"/>
        <w:jc w:val="center"/>
        <w:rPr>
          <w:rFonts w:ascii="Times New Roman" w:hAnsi="Times New Roman" w:cs="Times New Roman"/>
          <w:b/>
          <w:sz w:val="24"/>
          <w:szCs w:val="24"/>
        </w:rPr>
      </w:pPr>
      <w:bookmarkStart w:id="0" w:name="_GoBack"/>
      <w:r w:rsidRPr="001D6848">
        <w:rPr>
          <w:rFonts w:ascii="Times New Roman" w:hAnsi="Times New Roman" w:cs="Times New Roman"/>
          <w:b/>
          <w:sz w:val="24"/>
          <w:szCs w:val="24"/>
        </w:rPr>
        <w:t>NRS-429 TP 3 DQ 2</w:t>
      </w:r>
    </w:p>
    <w:bookmarkEnd w:id="0"/>
    <w:p w:rsidR="001D6848" w:rsidRDefault="00A64D00" w:rsidP="001D6848">
      <w:pPr>
        <w:spacing w:after="0" w:line="480" w:lineRule="auto"/>
        <w:ind w:firstLine="720"/>
        <w:rPr>
          <w:rFonts w:ascii="Times New Roman" w:hAnsi="Times New Roman" w:cs="Times New Roman"/>
          <w:sz w:val="24"/>
          <w:szCs w:val="24"/>
        </w:rPr>
      </w:pPr>
      <w:r w:rsidRPr="001D6848">
        <w:rPr>
          <w:rFonts w:ascii="Times New Roman" w:hAnsi="Times New Roman" w:cs="Times New Roman"/>
          <w:sz w:val="24"/>
          <w:szCs w:val="24"/>
        </w:rPr>
        <w:t>The three distinct</w:t>
      </w:r>
      <w:r w:rsidR="00E63724" w:rsidRPr="001D6848">
        <w:rPr>
          <w:rFonts w:ascii="Times New Roman" w:hAnsi="Times New Roman" w:cs="Times New Roman"/>
          <w:sz w:val="24"/>
          <w:szCs w:val="24"/>
        </w:rPr>
        <w:t xml:space="preserve"> levels of health promotion </w:t>
      </w:r>
      <w:r w:rsidR="00C20563" w:rsidRPr="001D6848">
        <w:rPr>
          <w:rFonts w:ascii="Times New Roman" w:hAnsi="Times New Roman" w:cs="Times New Roman"/>
          <w:sz w:val="24"/>
          <w:szCs w:val="24"/>
        </w:rPr>
        <w:t xml:space="preserve">specifically, primary, secondary, and tertiary are pertinent components that impact the espousal of healthy habits, thus mitigating illnesses. In this context, the primary </w:t>
      </w:r>
      <w:r w:rsidR="00C664FF" w:rsidRPr="001D6848">
        <w:rPr>
          <w:rFonts w:ascii="Times New Roman" w:hAnsi="Times New Roman" w:cs="Times New Roman"/>
          <w:sz w:val="24"/>
          <w:szCs w:val="24"/>
        </w:rPr>
        <w:t>level encompasses preventive measures geared toward an individual or susceptible population (Kisling &amp; Das, 2022).</w:t>
      </w:r>
      <w:r w:rsidR="00C20563" w:rsidRPr="001D6848">
        <w:rPr>
          <w:rFonts w:ascii="Times New Roman" w:hAnsi="Times New Roman" w:cs="Times New Roman"/>
          <w:sz w:val="24"/>
          <w:szCs w:val="24"/>
        </w:rPr>
        <w:t xml:space="preserve">  </w:t>
      </w:r>
      <w:r w:rsidR="00C664FF" w:rsidRPr="001D6848">
        <w:rPr>
          <w:rFonts w:ascii="Times New Roman" w:hAnsi="Times New Roman" w:cs="Times New Roman"/>
          <w:sz w:val="24"/>
          <w:szCs w:val="24"/>
        </w:rPr>
        <w:t xml:space="preserve">As such it is implemented before any illness process starts and entails impacting lifestyle adjustment through patient edification. Additional measures involved at the primary level are health promotion and protection programs aimed at </w:t>
      </w:r>
      <w:r w:rsidR="00B41234" w:rsidRPr="001D6848">
        <w:rPr>
          <w:rFonts w:ascii="Times New Roman" w:hAnsi="Times New Roman" w:cs="Times New Roman"/>
          <w:sz w:val="24"/>
          <w:szCs w:val="24"/>
        </w:rPr>
        <w:t>patients</w:t>
      </w:r>
      <w:r w:rsidR="00C664FF" w:rsidRPr="001D6848">
        <w:rPr>
          <w:rFonts w:ascii="Times New Roman" w:hAnsi="Times New Roman" w:cs="Times New Roman"/>
          <w:sz w:val="24"/>
          <w:szCs w:val="24"/>
        </w:rPr>
        <w:t xml:space="preserve"> from </w:t>
      </w:r>
      <w:r w:rsidR="00B41234" w:rsidRPr="001D6848">
        <w:rPr>
          <w:rFonts w:ascii="Times New Roman" w:hAnsi="Times New Roman" w:cs="Times New Roman"/>
          <w:sz w:val="24"/>
          <w:szCs w:val="24"/>
        </w:rPr>
        <w:t xml:space="preserve">acquiring diseases like immunization. Per se, the target populace is healthy individuals </w:t>
      </w:r>
      <w:r w:rsidR="00B41234" w:rsidRPr="001D6848">
        <w:rPr>
          <w:rFonts w:ascii="Times New Roman" w:hAnsi="Times New Roman" w:cs="Times New Roman"/>
          <w:sz w:val="24"/>
          <w:szCs w:val="24"/>
        </w:rPr>
        <w:t xml:space="preserve">(Kisling &amp; Das, 2022).  </w:t>
      </w:r>
      <w:r w:rsidR="00B41234" w:rsidRPr="001D6848">
        <w:rPr>
          <w:rFonts w:ascii="Times New Roman" w:hAnsi="Times New Roman" w:cs="Times New Roman"/>
          <w:sz w:val="24"/>
          <w:szCs w:val="24"/>
        </w:rPr>
        <w:t xml:space="preserve">Conversely, the secondary level constitutes early disease detection and proactive treatment of injuries and illnesses at their initial stages. This level of health promotion </w:t>
      </w:r>
      <w:r w:rsidR="00A01D36" w:rsidRPr="001D6848">
        <w:rPr>
          <w:rFonts w:ascii="Times New Roman" w:hAnsi="Times New Roman" w:cs="Times New Roman"/>
          <w:sz w:val="24"/>
          <w:szCs w:val="24"/>
        </w:rPr>
        <w:t>targets individuals who seem healthy with subclinical types of maladies. The secondary health promotion level attempts to augment health-seeking habits and prevent the current health conditions from progressing to deteriorating illnesses</w:t>
      </w:r>
      <w:r w:rsidR="00032690" w:rsidRPr="001D6848">
        <w:rPr>
          <w:rFonts w:ascii="Times New Roman" w:hAnsi="Times New Roman" w:cs="Times New Roman"/>
          <w:sz w:val="24"/>
          <w:szCs w:val="24"/>
        </w:rPr>
        <w:t xml:space="preserve">. The approaches utilized in this level of health promotion include screening (Martins &amp; Whyte, 2020). </w:t>
      </w:r>
    </w:p>
    <w:p w:rsidR="00A64D00" w:rsidRPr="001D6848" w:rsidRDefault="00032690" w:rsidP="001D6848">
      <w:pPr>
        <w:spacing w:after="0" w:line="480" w:lineRule="auto"/>
        <w:ind w:firstLine="720"/>
        <w:rPr>
          <w:rFonts w:ascii="Times New Roman" w:hAnsi="Times New Roman" w:cs="Times New Roman"/>
          <w:sz w:val="24"/>
          <w:szCs w:val="24"/>
        </w:rPr>
      </w:pPr>
      <w:r w:rsidRPr="001D6848">
        <w:rPr>
          <w:rFonts w:ascii="Times New Roman" w:hAnsi="Times New Roman" w:cs="Times New Roman"/>
          <w:sz w:val="24"/>
          <w:szCs w:val="24"/>
        </w:rPr>
        <w:t xml:space="preserve">In addition, the tertiary level is directed at managing established illnesses in individuals and thwarting </w:t>
      </w:r>
      <w:r w:rsidR="00414BFC" w:rsidRPr="001D6848">
        <w:rPr>
          <w:rFonts w:ascii="Times New Roman" w:hAnsi="Times New Roman" w:cs="Times New Roman"/>
          <w:sz w:val="24"/>
          <w:szCs w:val="24"/>
        </w:rPr>
        <w:t xml:space="preserve">further complications. This level </w:t>
      </w:r>
      <w:r w:rsidR="00B54A39" w:rsidRPr="001D6848">
        <w:rPr>
          <w:rFonts w:ascii="Times New Roman" w:hAnsi="Times New Roman" w:cs="Times New Roman"/>
          <w:sz w:val="24"/>
          <w:szCs w:val="24"/>
        </w:rPr>
        <w:t xml:space="preserve">requires long-term treatment and seeks to </w:t>
      </w:r>
      <w:r w:rsidR="009D0D97" w:rsidRPr="001D6848">
        <w:rPr>
          <w:rFonts w:ascii="Times New Roman" w:hAnsi="Times New Roman" w:cs="Times New Roman"/>
          <w:sz w:val="24"/>
          <w:szCs w:val="24"/>
        </w:rPr>
        <w:t>minimize the effects of the illness through apt treatment and rehabilitation. As such, education and activities such as rehabilitation prevent further complications (Falkner, 2018). Given that the threefold levels of health promotion happen at various phases of health status</w:t>
      </w:r>
      <w:r w:rsidR="003B5504" w:rsidRPr="001D6848">
        <w:rPr>
          <w:rFonts w:ascii="Times New Roman" w:hAnsi="Times New Roman" w:cs="Times New Roman"/>
          <w:sz w:val="24"/>
          <w:szCs w:val="24"/>
        </w:rPr>
        <w:t xml:space="preserve"> phases</w:t>
      </w:r>
      <w:r w:rsidR="009D0D97" w:rsidRPr="001D6848">
        <w:rPr>
          <w:rFonts w:ascii="Times New Roman" w:hAnsi="Times New Roman" w:cs="Times New Roman"/>
          <w:sz w:val="24"/>
          <w:szCs w:val="24"/>
        </w:rPr>
        <w:t xml:space="preserve">, they significantly </w:t>
      </w:r>
      <w:r w:rsidR="003B5504" w:rsidRPr="001D6848">
        <w:rPr>
          <w:rFonts w:ascii="Times New Roman" w:hAnsi="Times New Roman" w:cs="Times New Roman"/>
          <w:sz w:val="24"/>
          <w:szCs w:val="24"/>
        </w:rPr>
        <w:t>impact</w:t>
      </w:r>
      <w:r w:rsidR="009D0D97" w:rsidRPr="001D6848">
        <w:rPr>
          <w:rFonts w:ascii="Times New Roman" w:hAnsi="Times New Roman" w:cs="Times New Roman"/>
          <w:sz w:val="24"/>
          <w:szCs w:val="24"/>
        </w:rPr>
        <w:t xml:space="preserve"> how much education patients need. Since the patient has no conditions at this stage, the focus of instruction should be on preventive actions.</w:t>
      </w:r>
      <w:r w:rsidR="003B5504" w:rsidRPr="001D6848">
        <w:rPr>
          <w:rFonts w:ascii="Times New Roman" w:hAnsi="Times New Roman" w:cs="Times New Roman"/>
          <w:sz w:val="24"/>
          <w:szCs w:val="24"/>
        </w:rPr>
        <w:t xml:space="preserve"> At the primary level, the patient only necessitates education that focuses on preventive measures. Early identification of the illness and swift treatment are crucial ideas at the secondary level, therefore teaching needs to </w:t>
      </w:r>
      <w:r w:rsidR="003B5504" w:rsidRPr="001D6848">
        <w:rPr>
          <w:rFonts w:ascii="Times New Roman" w:hAnsi="Times New Roman" w:cs="Times New Roman"/>
          <w:sz w:val="24"/>
          <w:szCs w:val="24"/>
        </w:rPr>
        <w:lastRenderedPageBreak/>
        <w:t>focus primarily on health-seeking behaviors</w:t>
      </w:r>
      <w:r w:rsidR="001D6848" w:rsidRPr="001D6848">
        <w:rPr>
          <w:rFonts w:ascii="Times New Roman" w:hAnsi="Times New Roman" w:cs="Times New Roman"/>
          <w:sz w:val="24"/>
          <w:szCs w:val="24"/>
        </w:rPr>
        <w:t xml:space="preserve"> </w:t>
      </w:r>
      <w:r w:rsidR="001D6848" w:rsidRPr="001D6848">
        <w:rPr>
          <w:rFonts w:ascii="Times New Roman" w:hAnsi="Times New Roman" w:cs="Times New Roman"/>
          <w:sz w:val="24"/>
          <w:szCs w:val="24"/>
        </w:rPr>
        <w:t>(Kisling &amp; Das, 2022)</w:t>
      </w:r>
      <w:r w:rsidR="003B5504" w:rsidRPr="001D6848">
        <w:rPr>
          <w:rFonts w:ascii="Times New Roman" w:hAnsi="Times New Roman" w:cs="Times New Roman"/>
          <w:sz w:val="24"/>
          <w:szCs w:val="24"/>
        </w:rPr>
        <w:t>. Since the disease has already caused major harm at the tertiary level and a diagnosis has already been made, the emphasis of education needs is on retraining, re</w:t>
      </w:r>
      <w:r w:rsidR="001D6848" w:rsidRPr="001D6848">
        <w:rPr>
          <w:rFonts w:ascii="Times New Roman" w:hAnsi="Times New Roman" w:cs="Times New Roman"/>
          <w:sz w:val="24"/>
          <w:szCs w:val="24"/>
        </w:rPr>
        <w:t>-</w:t>
      </w:r>
      <w:r w:rsidR="003B5504" w:rsidRPr="001D6848">
        <w:rPr>
          <w:rFonts w:ascii="Times New Roman" w:hAnsi="Times New Roman" w:cs="Times New Roman"/>
          <w:sz w:val="24"/>
          <w:szCs w:val="24"/>
        </w:rPr>
        <w:t>educating, and rehabilitating persons who have already acquired an impairment or disability.</w:t>
      </w:r>
    </w:p>
    <w:p w:rsidR="001D6848" w:rsidRPr="001D6848" w:rsidRDefault="001D6848" w:rsidP="001D6848">
      <w:pPr>
        <w:spacing w:after="0" w:line="480" w:lineRule="auto"/>
        <w:jc w:val="center"/>
        <w:rPr>
          <w:rFonts w:ascii="Times New Roman" w:hAnsi="Times New Roman" w:cs="Times New Roman"/>
          <w:b/>
          <w:sz w:val="24"/>
          <w:szCs w:val="24"/>
        </w:rPr>
      </w:pPr>
      <w:r w:rsidRPr="001D6848">
        <w:rPr>
          <w:rFonts w:ascii="Times New Roman" w:hAnsi="Times New Roman" w:cs="Times New Roman"/>
          <w:b/>
          <w:sz w:val="24"/>
          <w:szCs w:val="24"/>
        </w:rPr>
        <w:t>References</w:t>
      </w:r>
    </w:p>
    <w:p w:rsidR="001D6848" w:rsidRPr="001D6848" w:rsidRDefault="001D6848" w:rsidP="001D6848">
      <w:pPr>
        <w:spacing w:after="0" w:line="480" w:lineRule="auto"/>
        <w:ind w:left="720" w:hanging="720"/>
        <w:rPr>
          <w:rFonts w:ascii="Times New Roman" w:hAnsi="Times New Roman" w:cs="Times New Roman"/>
          <w:sz w:val="24"/>
          <w:szCs w:val="24"/>
        </w:rPr>
      </w:pPr>
      <w:r w:rsidRPr="001D6848">
        <w:rPr>
          <w:rFonts w:ascii="Times New Roman" w:hAnsi="Times New Roman" w:cs="Times New Roman"/>
          <w:sz w:val="24"/>
          <w:szCs w:val="24"/>
        </w:rPr>
        <w:t xml:space="preserve">Falkner, A. (2018). Health promotion in nursing care. Health promotion: Health &amp; wellness across the continuum. </w:t>
      </w:r>
      <w:r w:rsidRPr="001D6848">
        <w:rPr>
          <w:rFonts w:ascii="Times New Roman" w:hAnsi="Times New Roman" w:cs="Times New Roman"/>
          <w:i/>
          <w:sz w:val="24"/>
          <w:szCs w:val="24"/>
        </w:rPr>
        <w:t>Grand Canyon University</w:t>
      </w:r>
      <w:r w:rsidRPr="001D6848">
        <w:rPr>
          <w:rFonts w:ascii="Times New Roman" w:hAnsi="Times New Roman" w:cs="Times New Roman"/>
          <w:sz w:val="24"/>
          <w:szCs w:val="24"/>
        </w:rPr>
        <w:t xml:space="preserve">. </w:t>
      </w:r>
      <w:hyperlink r:id="rId6" w:history="1">
        <w:r w:rsidRPr="001D6848">
          <w:rPr>
            <w:rStyle w:val="Hyperlink"/>
            <w:rFonts w:ascii="Times New Roman" w:hAnsi="Times New Roman" w:cs="Times New Roman"/>
            <w:sz w:val="24"/>
            <w:szCs w:val="24"/>
          </w:rPr>
          <w:t>https://lc.gcumedia.com/nrs429vn/healthpromotion-health-and-wellness-across-the-continuum/v1.1/#/chapter/2</w:t>
        </w:r>
      </w:hyperlink>
    </w:p>
    <w:p w:rsidR="001D6848" w:rsidRPr="001D6848" w:rsidRDefault="001D6848" w:rsidP="001D6848">
      <w:pPr>
        <w:spacing w:after="0" w:line="480" w:lineRule="auto"/>
        <w:ind w:left="720" w:hanging="720"/>
        <w:rPr>
          <w:rFonts w:ascii="Times New Roman" w:hAnsi="Times New Roman" w:cs="Times New Roman"/>
          <w:sz w:val="24"/>
          <w:szCs w:val="24"/>
        </w:rPr>
      </w:pPr>
      <w:r w:rsidRPr="001D6848">
        <w:rPr>
          <w:rFonts w:ascii="Times New Roman" w:hAnsi="Times New Roman" w:cs="Times New Roman"/>
          <w:sz w:val="24"/>
          <w:szCs w:val="24"/>
        </w:rPr>
        <w:t>Kisling, L. A., &amp; M Das, J. (2022). Prevention Strategies. In </w:t>
      </w:r>
      <w:r w:rsidRPr="001D6848">
        <w:rPr>
          <w:rFonts w:ascii="Times New Roman" w:hAnsi="Times New Roman" w:cs="Times New Roman"/>
          <w:i/>
          <w:iCs/>
          <w:sz w:val="24"/>
          <w:szCs w:val="24"/>
        </w:rPr>
        <w:t>StatPearls</w:t>
      </w:r>
      <w:r w:rsidRPr="001D6848">
        <w:rPr>
          <w:rFonts w:ascii="Times New Roman" w:hAnsi="Times New Roman" w:cs="Times New Roman"/>
          <w:sz w:val="24"/>
          <w:szCs w:val="24"/>
        </w:rPr>
        <w:t>. StatPearls Publishing.</w:t>
      </w:r>
      <w:r>
        <w:rPr>
          <w:rFonts w:ascii="Times New Roman" w:hAnsi="Times New Roman" w:cs="Times New Roman"/>
          <w:sz w:val="24"/>
          <w:szCs w:val="24"/>
        </w:rPr>
        <w:t xml:space="preserve"> </w:t>
      </w:r>
      <w:hyperlink r:id="rId7" w:history="1">
        <w:r w:rsidRPr="001D6848">
          <w:rPr>
            <w:rStyle w:val="Hyperlink"/>
            <w:rFonts w:ascii="Times New Roman" w:hAnsi="Times New Roman" w:cs="Times New Roman"/>
            <w:sz w:val="24"/>
            <w:szCs w:val="24"/>
          </w:rPr>
          <w:t>https://www.ncbi.nlm.nih.gov/books/NBK537222/</w:t>
        </w:r>
      </w:hyperlink>
    </w:p>
    <w:p w:rsidR="001D6848" w:rsidRPr="001D6848" w:rsidRDefault="001D6848" w:rsidP="001D6848">
      <w:pPr>
        <w:spacing w:after="0" w:line="480" w:lineRule="auto"/>
        <w:ind w:left="720" w:hanging="720"/>
        <w:rPr>
          <w:rFonts w:ascii="Times New Roman" w:hAnsi="Times New Roman" w:cs="Times New Roman"/>
          <w:sz w:val="24"/>
          <w:szCs w:val="24"/>
        </w:rPr>
      </w:pPr>
      <w:r w:rsidRPr="001D6848">
        <w:rPr>
          <w:rFonts w:ascii="Times New Roman" w:hAnsi="Times New Roman" w:cs="Times New Roman"/>
          <w:sz w:val="24"/>
          <w:szCs w:val="24"/>
        </w:rPr>
        <w:t>Martins, J., &amp;</w:t>
      </w:r>
      <w:r w:rsidRPr="001D6848">
        <w:rPr>
          <w:rFonts w:ascii="Times New Roman" w:hAnsi="Times New Roman" w:cs="Times New Roman"/>
          <w:sz w:val="24"/>
          <w:szCs w:val="24"/>
        </w:rPr>
        <w:t xml:space="preserve"> Whyte, C. (2020). Preventive medicine as a specialty to support public health</w:t>
      </w:r>
      <w:r w:rsidRPr="001D6848">
        <w:rPr>
          <w:rFonts w:ascii="Times New Roman" w:hAnsi="Times New Roman" w:cs="Times New Roman"/>
          <w:sz w:val="24"/>
          <w:szCs w:val="24"/>
        </w:rPr>
        <w:t xml:space="preserve"> endeavors</w:t>
      </w:r>
      <w:r w:rsidRPr="001D6848">
        <w:rPr>
          <w:rFonts w:ascii="Times New Roman" w:hAnsi="Times New Roman" w:cs="Times New Roman"/>
          <w:i/>
          <w:sz w:val="24"/>
          <w:szCs w:val="24"/>
        </w:rPr>
        <w:t>. Southern African Journal of Public Heal</w:t>
      </w:r>
      <w:r w:rsidRPr="001D6848">
        <w:rPr>
          <w:rFonts w:ascii="Times New Roman" w:hAnsi="Times New Roman" w:cs="Times New Roman"/>
          <w:i/>
          <w:sz w:val="24"/>
          <w:szCs w:val="24"/>
        </w:rPr>
        <w:t xml:space="preserve">th (incorporating Strengthening </w:t>
      </w:r>
      <w:r w:rsidRPr="001D6848">
        <w:rPr>
          <w:rFonts w:ascii="Times New Roman" w:hAnsi="Times New Roman" w:cs="Times New Roman"/>
          <w:i/>
          <w:sz w:val="24"/>
          <w:szCs w:val="24"/>
        </w:rPr>
        <w:t>Health Systems),</w:t>
      </w:r>
      <w:r w:rsidRPr="001D6848">
        <w:rPr>
          <w:rFonts w:ascii="Times New Roman" w:hAnsi="Times New Roman" w:cs="Times New Roman"/>
          <w:sz w:val="24"/>
          <w:szCs w:val="24"/>
        </w:rPr>
        <w:t xml:space="preserve"> 4(2), 57-59. Doi:10.7196/SHS.2020.v4i2.119</w:t>
      </w:r>
    </w:p>
    <w:p w:rsidR="001D6848" w:rsidRPr="001D6848" w:rsidRDefault="001D6848" w:rsidP="001D6848">
      <w:pPr>
        <w:spacing w:after="0" w:line="480" w:lineRule="auto"/>
        <w:ind w:left="720" w:hanging="720"/>
        <w:rPr>
          <w:rFonts w:ascii="Times New Roman" w:hAnsi="Times New Roman" w:cs="Times New Roman"/>
          <w:sz w:val="24"/>
          <w:szCs w:val="24"/>
        </w:rPr>
      </w:pPr>
    </w:p>
    <w:p w:rsidR="001D6848" w:rsidRPr="001D6848" w:rsidRDefault="001D6848" w:rsidP="001D6848">
      <w:pPr>
        <w:spacing w:after="0" w:line="480" w:lineRule="auto"/>
        <w:ind w:left="720" w:hanging="720"/>
        <w:rPr>
          <w:rFonts w:ascii="Times New Roman" w:hAnsi="Times New Roman" w:cs="Times New Roman"/>
          <w:sz w:val="24"/>
          <w:szCs w:val="24"/>
        </w:rPr>
      </w:pPr>
    </w:p>
    <w:p w:rsidR="001D6848" w:rsidRPr="001D6848" w:rsidRDefault="001D6848" w:rsidP="001D6848">
      <w:pPr>
        <w:spacing w:after="0" w:line="480" w:lineRule="auto"/>
        <w:rPr>
          <w:rFonts w:ascii="Times New Roman" w:hAnsi="Times New Roman" w:cs="Times New Roman"/>
          <w:sz w:val="24"/>
          <w:szCs w:val="24"/>
        </w:rPr>
      </w:pPr>
    </w:p>
    <w:sectPr w:rsidR="001D6848" w:rsidRPr="001D68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E7D" w:rsidRDefault="00E21E7D" w:rsidP="00FE26ED">
      <w:pPr>
        <w:spacing w:after="0" w:line="240" w:lineRule="auto"/>
      </w:pPr>
      <w:r>
        <w:separator/>
      </w:r>
    </w:p>
  </w:endnote>
  <w:endnote w:type="continuationSeparator" w:id="0">
    <w:p w:rsidR="00E21E7D" w:rsidRDefault="00E21E7D" w:rsidP="00FE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E7D" w:rsidRDefault="00E21E7D" w:rsidP="00FE26ED">
      <w:pPr>
        <w:spacing w:after="0" w:line="240" w:lineRule="auto"/>
      </w:pPr>
      <w:r>
        <w:separator/>
      </w:r>
    </w:p>
  </w:footnote>
  <w:footnote w:type="continuationSeparator" w:id="0">
    <w:p w:rsidR="00E21E7D" w:rsidRDefault="00E21E7D" w:rsidP="00FE2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ED"/>
    <w:rsid w:val="00032690"/>
    <w:rsid w:val="001D6848"/>
    <w:rsid w:val="003B5504"/>
    <w:rsid w:val="00414BFC"/>
    <w:rsid w:val="00852C21"/>
    <w:rsid w:val="008B3BDC"/>
    <w:rsid w:val="009D0D97"/>
    <w:rsid w:val="00A01D36"/>
    <w:rsid w:val="00A64D00"/>
    <w:rsid w:val="00B41234"/>
    <w:rsid w:val="00B54A39"/>
    <w:rsid w:val="00C20563"/>
    <w:rsid w:val="00C664FF"/>
    <w:rsid w:val="00E21E7D"/>
    <w:rsid w:val="00E63724"/>
    <w:rsid w:val="00FE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6204"/>
  <w15:chartTrackingRefBased/>
  <w15:docId w15:val="{91398BA0-3985-4EB0-B1B2-A6FFE726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6ED"/>
  </w:style>
  <w:style w:type="paragraph" w:styleId="Footer">
    <w:name w:val="footer"/>
    <w:basedOn w:val="Normal"/>
    <w:link w:val="FooterChar"/>
    <w:uiPriority w:val="99"/>
    <w:unhideWhenUsed/>
    <w:rsid w:val="00FE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6ED"/>
  </w:style>
  <w:style w:type="character" w:styleId="Hyperlink">
    <w:name w:val="Hyperlink"/>
    <w:basedOn w:val="DefaultParagraphFont"/>
    <w:uiPriority w:val="99"/>
    <w:unhideWhenUsed/>
    <w:rsid w:val="001D6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3145">
      <w:bodyDiv w:val="1"/>
      <w:marLeft w:val="0"/>
      <w:marRight w:val="0"/>
      <w:marTop w:val="0"/>
      <w:marBottom w:val="0"/>
      <w:divBdr>
        <w:top w:val="none" w:sz="0" w:space="0" w:color="auto"/>
        <w:left w:val="none" w:sz="0" w:space="0" w:color="auto"/>
        <w:bottom w:val="none" w:sz="0" w:space="0" w:color="auto"/>
        <w:right w:val="none" w:sz="0" w:space="0" w:color="auto"/>
      </w:divBdr>
      <w:divsChild>
        <w:div w:id="373963759">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books/NBK5372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c.gcumedia.com/nrs429vn/healthpromotion-health-and-wellness-across-the-continuum/v1.1/#/chapter/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1</cp:revision>
  <dcterms:created xsi:type="dcterms:W3CDTF">2022-12-12T13:50:00Z</dcterms:created>
  <dcterms:modified xsi:type="dcterms:W3CDTF">2022-12-13T02:45:00Z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40036408-0ac8-42fe-af27-8db7472d6916</vt:lpwstr>
  </property>
</Properties>
</file>