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C1CE" w14:textId="3051373E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10151" w14:textId="255C5852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4F7BC" w14:textId="5390DF1B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BF9A7" w14:textId="67357C9E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AAA78" w14:textId="706A74BD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CAC68" w14:textId="77777777" w:rsidR="00022904" w:rsidRPr="00022904" w:rsidRDefault="00022904" w:rsidP="000229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Contact Dermatitis</w:t>
      </w:r>
    </w:p>
    <w:p w14:paraId="256EB9CB" w14:textId="77777777" w:rsidR="00022904" w:rsidRPr="00022904" w:rsidRDefault="00022904" w:rsidP="000229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Student’s name</w:t>
      </w:r>
    </w:p>
    <w:p w14:paraId="23DA7A70" w14:textId="77777777" w:rsidR="00022904" w:rsidRPr="00022904" w:rsidRDefault="00022904" w:rsidP="000229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F97DE6D" w14:textId="77777777" w:rsidR="00022904" w:rsidRPr="00022904" w:rsidRDefault="00022904" w:rsidP="000229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Professor’s name</w:t>
      </w:r>
    </w:p>
    <w:p w14:paraId="503CB6DE" w14:textId="77777777" w:rsidR="00022904" w:rsidRPr="00022904" w:rsidRDefault="00022904" w:rsidP="000229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Course title</w:t>
      </w:r>
    </w:p>
    <w:p w14:paraId="44403020" w14:textId="77777777" w:rsidR="00022904" w:rsidRPr="00022904" w:rsidRDefault="00022904" w:rsidP="000229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Due date</w:t>
      </w:r>
    </w:p>
    <w:p w14:paraId="3F0D6AE0" w14:textId="00C9E2BA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BBAC2" w14:textId="49087F5E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B04C0" w14:textId="4FC21E27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BA74A" w14:textId="0B1DBC05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2C225" w14:textId="609EAD00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FD59B" w14:textId="719277C4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99FF4" w14:textId="77777777" w:rsidR="00022904" w:rsidRP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6095" w14:textId="694CA150" w:rsidR="00022904" w:rsidRPr="00022904" w:rsidRDefault="00022904" w:rsidP="000229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Contact Dermatitis</w:t>
      </w:r>
    </w:p>
    <w:p w14:paraId="0B5C39D5" w14:textId="57CD140F" w:rsidR="004375CB" w:rsidRPr="00022904" w:rsidRDefault="004375CB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Goals of treatment for Jason Ferguson</w:t>
      </w:r>
    </w:p>
    <w:p w14:paraId="0ABE833A" w14:textId="46D0AE56" w:rsidR="004375CB" w:rsidRPr="00022904" w:rsidRDefault="004375CB" w:rsidP="004F508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To reinstate the skin to normal and lower inflammation.</w:t>
      </w:r>
    </w:p>
    <w:p w14:paraId="4EBD001E" w14:textId="0BF1A9D0" w:rsidR="004375CB" w:rsidRPr="00022904" w:rsidRDefault="004375CB" w:rsidP="004F508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To prevent additional injuries to the patient’s skin.</w:t>
      </w:r>
    </w:p>
    <w:p w14:paraId="510C550C" w14:textId="11B9C979" w:rsidR="004375CB" w:rsidRPr="00022904" w:rsidRDefault="004375CB" w:rsidP="004F508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To remove itch</w:t>
      </w:r>
      <w:r w:rsidR="003176E5" w:rsidRPr="00022904">
        <w:rPr>
          <w:rFonts w:ascii="Times New Roman" w:hAnsi="Times New Roman" w:cs="Times New Roman"/>
          <w:sz w:val="24"/>
          <w:szCs w:val="24"/>
        </w:rPr>
        <w:t>ing that brings about different symptoms and soreness.</w:t>
      </w:r>
    </w:p>
    <w:p w14:paraId="1F72CF58" w14:textId="072AF651" w:rsidR="005E527B" w:rsidRPr="00022904" w:rsidRDefault="005E527B" w:rsidP="004F50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Drug therapy for contact dermatitis</w:t>
      </w:r>
      <w:r w:rsidRPr="00022904">
        <w:rPr>
          <w:rFonts w:ascii="Times New Roman" w:hAnsi="Times New Roman" w:cs="Times New Roman"/>
          <w:sz w:val="24"/>
          <w:szCs w:val="24"/>
        </w:rPr>
        <w:t>.</w:t>
      </w:r>
    </w:p>
    <w:p w14:paraId="28938D01" w14:textId="09CC0793" w:rsidR="009177BC" w:rsidRPr="00022904" w:rsidRDefault="009177BC" w:rsidP="000229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The drug therapy for the patient would be topical immunomodulators</w:t>
      </w:r>
      <w:r w:rsidR="0031562B" w:rsidRPr="00022904">
        <w:rPr>
          <w:rFonts w:ascii="Times New Roman" w:hAnsi="Times New Roman" w:cs="Times New Roman"/>
          <w:sz w:val="24"/>
          <w:szCs w:val="24"/>
        </w:rPr>
        <w:t xml:space="preserve"> such as tacrolimus. The drug can be administered to children of more than 2 years of age and the patient is a child of 11 years</w:t>
      </w:r>
      <w:r w:rsidR="00EF5B7B" w:rsidRPr="00022904">
        <w:rPr>
          <w:rFonts w:ascii="Times New Roman" w:hAnsi="Times New Roman" w:cs="Times New Roman"/>
          <w:sz w:val="24"/>
          <w:szCs w:val="24"/>
        </w:rPr>
        <w:t xml:space="preserve"> </w:t>
      </w:r>
      <w:r w:rsidR="00EF5B7B" w:rsidRPr="00022904">
        <w:rPr>
          <w:rFonts w:ascii="Times New Roman" w:hAnsi="Times New Roman" w:cs="Times New Roman"/>
          <w:sz w:val="24"/>
          <w:szCs w:val="24"/>
        </w:rPr>
        <w:t>(</w:t>
      </w:r>
      <w:r w:rsidR="00EF5B7B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Galli et al., 2016)</w:t>
      </w:r>
      <w:r w:rsidR="0031562B" w:rsidRPr="00022904">
        <w:rPr>
          <w:rFonts w:ascii="Times New Roman" w:hAnsi="Times New Roman" w:cs="Times New Roman"/>
          <w:sz w:val="24"/>
          <w:szCs w:val="24"/>
        </w:rPr>
        <w:t xml:space="preserve">. Tacrolimus will help </w:t>
      </w:r>
      <w:r w:rsidR="00BA7151" w:rsidRPr="00022904">
        <w:rPr>
          <w:rFonts w:ascii="Times New Roman" w:hAnsi="Times New Roman" w:cs="Times New Roman"/>
          <w:sz w:val="24"/>
          <w:szCs w:val="24"/>
        </w:rPr>
        <w:t xml:space="preserve">stop the secretion of inflammatory cytokines and the therapy is an effective second-line therapy since the hydrocortisone cream did not help relieve itching in the patient. </w:t>
      </w:r>
    </w:p>
    <w:p w14:paraId="39F56550" w14:textId="7F37B827" w:rsidR="00BA7151" w:rsidRPr="00022904" w:rsidRDefault="00BA7151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 xml:space="preserve">Parameters </w:t>
      </w:r>
      <w:r w:rsidR="00EF5B7B" w:rsidRPr="00022904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022904">
        <w:rPr>
          <w:rFonts w:ascii="Times New Roman" w:hAnsi="Times New Roman" w:cs="Times New Roman"/>
          <w:b/>
          <w:bCs/>
          <w:sz w:val="24"/>
          <w:szCs w:val="24"/>
        </w:rPr>
        <w:t xml:space="preserve"> measuring the success of the therapy</w:t>
      </w:r>
    </w:p>
    <w:p w14:paraId="3E286276" w14:textId="786FF16A" w:rsidR="00FD2324" w:rsidRPr="00022904" w:rsidRDefault="00FD2324" w:rsidP="00022904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No improvement in inflammation and itching after two weeks indicates that the therapy is unsuccessful.</w:t>
      </w:r>
      <w:r w:rsidR="0023008F" w:rsidRPr="00022904">
        <w:rPr>
          <w:rFonts w:ascii="Times New Roman" w:hAnsi="Times New Roman" w:cs="Times New Roman"/>
          <w:sz w:val="24"/>
          <w:szCs w:val="24"/>
        </w:rPr>
        <w:t xml:space="preserve"> Advanced therapy can be considered </w:t>
      </w:r>
      <w:r w:rsidR="00267E99" w:rsidRPr="00022904">
        <w:rPr>
          <w:rFonts w:ascii="Times New Roman" w:hAnsi="Times New Roman" w:cs="Times New Roman"/>
          <w:sz w:val="24"/>
          <w:szCs w:val="24"/>
        </w:rPr>
        <w:t>after reassessment is done after 12 months</w:t>
      </w:r>
      <w:r w:rsidR="00EF5B7B" w:rsidRPr="00022904">
        <w:rPr>
          <w:rFonts w:ascii="Times New Roman" w:hAnsi="Times New Roman" w:cs="Times New Roman"/>
          <w:sz w:val="24"/>
          <w:szCs w:val="24"/>
        </w:rPr>
        <w:t xml:space="preserve"> </w:t>
      </w:r>
      <w:r w:rsidR="00EF5B7B" w:rsidRPr="00022904">
        <w:rPr>
          <w:rFonts w:ascii="Times New Roman" w:hAnsi="Times New Roman" w:cs="Times New Roman"/>
          <w:sz w:val="24"/>
          <w:szCs w:val="24"/>
        </w:rPr>
        <w:t>(</w:t>
      </w:r>
      <w:r w:rsidR="00EF5B7B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Galli et al., 2016)</w:t>
      </w:r>
      <w:r w:rsidR="00267E99" w:rsidRPr="00022904">
        <w:rPr>
          <w:rFonts w:ascii="Times New Roman" w:hAnsi="Times New Roman" w:cs="Times New Roman"/>
          <w:sz w:val="24"/>
          <w:szCs w:val="24"/>
        </w:rPr>
        <w:t>.</w:t>
      </w:r>
      <w:r w:rsidRPr="00022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C3D2F6" w14:textId="2E562E19" w:rsidR="00BA7151" w:rsidRPr="00022904" w:rsidRDefault="00BA7151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Patient information about the described therapy</w:t>
      </w:r>
    </w:p>
    <w:p w14:paraId="3B3337C5" w14:textId="5511C355" w:rsidR="00FD2324" w:rsidRPr="00022904" w:rsidRDefault="00EF5B7B" w:rsidP="000229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The patient</w:t>
      </w:r>
      <w:r w:rsidR="00FD2324" w:rsidRPr="00022904">
        <w:rPr>
          <w:rFonts w:ascii="Times New Roman" w:hAnsi="Times New Roman" w:cs="Times New Roman"/>
          <w:sz w:val="24"/>
          <w:szCs w:val="24"/>
        </w:rPr>
        <w:t xml:space="preserve"> should apply the tacrolimus two times a day for around two to three weeks till there is no inflammation. </w:t>
      </w:r>
      <w:r w:rsidR="00267E99" w:rsidRPr="00022904">
        <w:rPr>
          <w:rFonts w:ascii="Times New Roman" w:hAnsi="Times New Roman" w:cs="Times New Roman"/>
          <w:sz w:val="24"/>
          <w:szCs w:val="24"/>
        </w:rPr>
        <w:t xml:space="preserve">The patient should be informed about the expected adverse effects to make him stick to treatment and seek medical attention </w:t>
      </w:r>
      <w:r w:rsidRPr="00022904">
        <w:rPr>
          <w:rFonts w:ascii="Times New Roman" w:hAnsi="Times New Roman" w:cs="Times New Roman"/>
          <w:sz w:val="24"/>
          <w:szCs w:val="24"/>
        </w:rPr>
        <w:t>in case</w:t>
      </w:r>
      <w:r w:rsidR="00267E99" w:rsidRPr="00022904">
        <w:rPr>
          <w:rFonts w:ascii="Times New Roman" w:hAnsi="Times New Roman" w:cs="Times New Roman"/>
          <w:sz w:val="24"/>
          <w:szCs w:val="24"/>
        </w:rPr>
        <w:t xml:space="preserve"> of relapse or no notable changes in the symptoms</w:t>
      </w:r>
      <w:r w:rsidRPr="00022904">
        <w:rPr>
          <w:rFonts w:ascii="Times New Roman" w:hAnsi="Times New Roman" w:cs="Times New Roman"/>
          <w:sz w:val="24"/>
          <w:szCs w:val="24"/>
        </w:rPr>
        <w:t xml:space="preserve"> </w:t>
      </w:r>
      <w:r w:rsidRPr="00022904">
        <w:rPr>
          <w:rFonts w:ascii="Times New Roman" w:hAnsi="Times New Roman" w:cs="Times New Roman"/>
          <w:sz w:val="24"/>
          <w:szCs w:val="24"/>
        </w:rPr>
        <w:t>(</w:t>
      </w:r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Galli et al., 2016)</w:t>
      </w:r>
      <w:r w:rsidR="00267E99" w:rsidRPr="00022904">
        <w:rPr>
          <w:rFonts w:ascii="Times New Roman" w:hAnsi="Times New Roman" w:cs="Times New Roman"/>
          <w:sz w:val="24"/>
          <w:szCs w:val="24"/>
        </w:rPr>
        <w:t>.</w:t>
      </w:r>
    </w:p>
    <w:p w14:paraId="33E323F9" w14:textId="0495B60A" w:rsidR="00BA7151" w:rsidRPr="00022904" w:rsidRDefault="00BA7151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 xml:space="preserve">Adverse reactions </w:t>
      </w:r>
      <w:r w:rsidR="00EF5B7B" w:rsidRPr="00022904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022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B7B" w:rsidRPr="0002290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022904">
        <w:rPr>
          <w:rFonts w:ascii="Times New Roman" w:hAnsi="Times New Roman" w:cs="Times New Roman"/>
          <w:b/>
          <w:bCs/>
          <w:sz w:val="24"/>
          <w:szCs w:val="24"/>
        </w:rPr>
        <w:t>therapy</w:t>
      </w:r>
    </w:p>
    <w:p w14:paraId="17E35276" w14:textId="39C76232" w:rsidR="005F7925" w:rsidRPr="00022904" w:rsidRDefault="005F7925" w:rsidP="000229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lastRenderedPageBreak/>
        <w:t xml:space="preserve">Continuous </w:t>
      </w:r>
      <w:r w:rsidR="00BD3AC4" w:rsidRPr="00022904">
        <w:rPr>
          <w:rFonts w:ascii="Times New Roman" w:hAnsi="Times New Roman" w:cs="Times New Roman"/>
          <w:sz w:val="24"/>
          <w:szCs w:val="24"/>
        </w:rPr>
        <w:t>burning sensation and itching in the affected areas</w:t>
      </w:r>
      <w:r w:rsidR="00680419" w:rsidRPr="00022904">
        <w:rPr>
          <w:rFonts w:ascii="Times New Roman" w:hAnsi="Times New Roman" w:cs="Times New Roman"/>
          <w:sz w:val="24"/>
          <w:szCs w:val="24"/>
        </w:rPr>
        <w:t xml:space="preserve"> will cause a change in drug therapy. </w:t>
      </w:r>
    </w:p>
    <w:p w14:paraId="310EDBD3" w14:textId="6C99A0DF" w:rsidR="00887668" w:rsidRPr="00022904" w:rsidRDefault="00887668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Second-line therapy choice</w:t>
      </w:r>
    </w:p>
    <w:p w14:paraId="5CBD7A6E" w14:textId="2553E456" w:rsidR="00887668" w:rsidRPr="00022904" w:rsidRDefault="00887668" w:rsidP="000229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 xml:space="preserve">Phototherapy will be considered when the </w:t>
      </w:r>
      <w:r w:rsidRPr="00022904">
        <w:rPr>
          <w:rFonts w:ascii="Times New Roman" w:hAnsi="Times New Roman" w:cs="Times New Roman"/>
          <w:sz w:val="24"/>
          <w:szCs w:val="24"/>
        </w:rPr>
        <w:t>topical immunomodulators</w:t>
      </w:r>
      <w:r w:rsidRPr="00022904">
        <w:rPr>
          <w:rFonts w:ascii="Times New Roman" w:hAnsi="Times New Roman" w:cs="Times New Roman"/>
          <w:sz w:val="24"/>
          <w:szCs w:val="24"/>
        </w:rPr>
        <w:t xml:space="preserve"> do not control contact dermatitis. </w:t>
      </w:r>
      <w:r w:rsidR="00D67808" w:rsidRPr="00022904">
        <w:rPr>
          <w:rFonts w:ascii="Times New Roman" w:hAnsi="Times New Roman" w:cs="Times New Roman"/>
          <w:sz w:val="24"/>
          <w:szCs w:val="24"/>
        </w:rPr>
        <w:t>The therapy is only used on children who are six years and above. An example of phototherapy is UVA1 and it helps in controlling severe contact dermatitis</w:t>
      </w:r>
      <w:r w:rsidR="00EF5B7B" w:rsidRPr="00022904">
        <w:rPr>
          <w:rFonts w:ascii="Times New Roman" w:hAnsi="Times New Roman" w:cs="Times New Roman"/>
          <w:sz w:val="24"/>
          <w:szCs w:val="24"/>
        </w:rPr>
        <w:t xml:space="preserve"> </w:t>
      </w:r>
      <w:r w:rsidR="00EF5B7B" w:rsidRPr="00022904">
        <w:rPr>
          <w:rFonts w:ascii="Times New Roman" w:hAnsi="Times New Roman" w:cs="Times New Roman"/>
          <w:sz w:val="24"/>
          <w:szCs w:val="24"/>
        </w:rPr>
        <w:t>(</w:t>
      </w:r>
      <w:r w:rsidR="00EF5B7B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Galli et al., 2016)</w:t>
      </w:r>
      <w:r w:rsidR="00D67808" w:rsidRPr="00022904">
        <w:rPr>
          <w:rFonts w:ascii="Times New Roman" w:hAnsi="Times New Roman" w:cs="Times New Roman"/>
          <w:sz w:val="24"/>
          <w:szCs w:val="24"/>
        </w:rPr>
        <w:t>.</w:t>
      </w:r>
    </w:p>
    <w:p w14:paraId="1A9E59BE" w14:textId="46E75856" w:rsidR="00887668" w:rsidRPr="00022904" w:rsidRDefault="00887668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Over-the-counter and alternative medications</w:t>
      </w:r>
    </w:p>
    <w:p w14:paraId="3434AA98" w14:textId="74DFB447" w:rsidR="00B03B6A" w:rsidRPr="00022904" w:rsidRDefault="00B03B6A" w:rsidP="000229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 xml:space="preserve">Antihistamines would be </w:t>
      </w:r>
      <w:r w:rsidR="00EF5B7B" w:rsidRPr="00022904">
        <w:rPr>
          <w:rFonts w:ascii="Times New Roman" w:hAnsi="Times New Roman" w:cs="Times New Roman"/>
          <w:sz w:val="24"/>
          <w:szCs w:val="24"/>
        </w:rPr>
        <w:t xml:space="preserve">an </w:t>
      </w:r>
      <w:r w:rsidRPr="00022904">
        <w:rPr>
          <w:rFonts w:ascii="Times New Roman" w:hAnsi="Times New Roman" w:cs="Times New Roman"/>
          <w:sz w:val="24"/>
          <w:szCs w:val="24"/>
        </w:rPr>
        <w:t xml:space="preserve">effective </w:t>
      </w:r>
      <w:r w:rsidR="004F5082" w:rsidRPr="00022904">
        <w:rPr>
          <w:rFonts w:ascii="Times New Roman" w:hAnsi="Times New Roman" w:cs="Times New Roman"/>
          <w:sz w:val="24"/>
          <w:szCs w:val="24"/>
        </w:rPr>
        <w:t>over-the-counter</w:t>
      </w:r>
      <w:r w:rsidRPr="00022904">
        <w:rPr>
          <w:rFonts w:ascii="Times New Roman" w:hAnsi="Times New Roman" w:cs="Times New Roman"/>
          <w:sz w:val="24"/>
          <w:szCs w:val="24"/>
        </w:rPr>
        <w:t xml:space="preserve"> treatment</w:t>
      </w:r>
      <w:r w:rsidR="009B6124" w:rsidRPr="00022904">
        <w:rPr>
          <w:rFonts w:ascii="Times New Roman" w:hAnsi="Times New Roman" w:cs="Times New Roman"/>
          <w:sz w:val="24"/>
          <w:szCs w:val="24"/>
        </w:rPr>
        <w:t xml:space="preserve">. The treatment is effective in controlling itching and </w:t>
      </w:r>
      <w:r w:rsidR="00EF5B7B" w:rsidRPr="00022904">
        <w:rPr>
          <w:rFonts w:ascii="Times New Roman" w:hAnsi="Times New Roman" w:cs="Times New Roman"/>
          <w:sz w:val="24"/>
          <w:szCs w:val="24"/>
        </w:rPr>
        <w:t>is</w:t>
      </w:r>
      <w:r w:rsidR="009B6124" w:rsidRPr="00022904">
        <w:rPr>
          <w:rFonts w:ascii="Times New Roman" w:hAnsi="Times New Roman" w:cs="Times New Roman"/>
          <w:sz w:val="24"/>
          <w:szCs w:val="24"/>
        </w:rPr>
        <w:t xml:space="preserve"> more effective when contact dermatitis affects the sleeping duration of the child</w:t>
      </w:r>
      <w:r w:rsidR="004F5082" w:rsidRPr="00022904">
        <w:rPr>
          <w:rFonts w:ascii="Times New Roman" w:hAnsi="Times New Roman" w:cs="Times New Roman"/>
          <w:sz w:val="24"/>
          <w:szCs w:val="24"/>
        </w:rPr>
        <w:t xml:space="preserve"> </w:t>
      </w:r>
      <w:r w:rsidR="004F5082" w:rsidRPr="00022904">
        <w:rPr>
          <w:rFonts w:ascii="Times New Roman" w:hAnsi="Times New Roman" w:cs="Times New Roman"/>
          <w:sz w:val="24"/>
          <w:szCs w:val="24"/>
        </w:rPr>
        <w:t>(</w:t>
      </w:r>
      <w:r w:rsidR="004F5082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Galli et al., 2016)</w:t>
      </w:r>
      <w:r w:rsidR="009B6124" w:rsidRPr="00022904">
        <w:rPr>
          <w:rFonts w:ascii="Times New Roman" w:hAnsi="Times New Roman" w:cs="Times New Roman"/>
          <w:sz w:val="24"/>
          <w:szCs w:val="24"/>
        </w:rPr>
        <w:t>.</w:t>
      </w:r>
      <w:r w:rsidRPr="00022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B70CB" w14:textId="51D48E80" w:rsidR="00887668" w:rsidRPr="00022904" w:rsidRDefault="00887668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Lifestyle changes for the patient</w:t>
      </w:r>
    </w:p>
    <w:p w14:paraId="626BA502" w14:textId="0D3950E7" w:rsidR="00887668" w:rsidRPr="00022904" w:rsidRDefault="00D67808" w:rsidP="000229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>The patient should avoid putting on certain textiles that are tight for instance wool and nylon since the materials will increase irritation, however</w:t>
      </w:r>
      <w:r w:rsidR="004F5082" w:rsidRPr="00022904">
        <w:rPr>
          <w:rFonts w:ascii="Times New Roman" w:hAnsi="Times New Roman" w:cs="Times New Roman"/>
          <w:sz w:val="24"/>
          <w:szCs w:val="24"/>
        </w:rPr>
        <w:t>,</w:t>
      </w:r>
      <w:r w:rsidRPr="00022904">
        <w:rPr>
          <w:rFonts w:ascii="Times New Roman" w:hAnsi="Times New Roman" w:cs="Times New Roman"/>
          <w:sz w:val="24"/>
          <w:szCs w:val="24"/>
        </w:rPr>
        <w:t xml:space="preserve"> the patient should put on smooth fabric </w:t>
      </w:r>
      <w:r w:rsidR="00AD67BD" w:rsidRPr="00022904">
        <w:rPr>
          <w:rFonts w:ascii="Times New Roman" w:hAnsi="Times New Roman" w:cs="Times New Roman"/>
          <w:sz w:val="24"/>
          <w:szCs w:val="24"/>
        </w:rPr>
        <w:t>including cotton and silk as they lower the itching urge.</w:t>
      </w:r>
      <w:r w:rsidR="004B5B65" w:rsidRPr="00022904">
        <w:rPr>
          <w:rFonts w:ascii="Times New Roman" w:hAnsi="Times New Roman" w:cs="Times New Roman"/>
          <w:sz w:val="24"/>
          <w:szCs w:val="24"/>
        </w:rPr>
        <w:t xml:space="preserve"> Additionally, the patient should avoid consuming food that would cause further reactions</w:t>
      </w:r>
      <w:r w:rsidR="004F5082" w:rsidRPr="00022904">
        <w:rPr>
          <w:rFonts w:ascii="Times New Roman" w:hAnsi="Times New Roman" w:cs="Times New Roman"/>
          <w:sz w:val="24"/>
          <w:szCs w:val="24"/>
        </w:rPr>
        <w:t xml:space="preserve"> (</w:t>
      </w:r>
      <w:r w:rsidR="004F5082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Galli</w:t>
      </w:r>
      <w:r w:rsidR="004F5082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2016)</w:t>
      </w:r>
      <w:r w:rsidR="004B5B65" w:rsidRPr="00022904">
        <w:rPr>
          <w:rFonts w:ascii="Times New Roman" w:hAnsi="Times New Roman" w:cs="Times New Roman"/>
          <w:sz w:val="24"/>
          <w:szCs w:val="24"/>
        </w:rPr>
        <w:t xml:space="preserve">. The food can cause reactions on the skin through </w:t>
      </w:r>
      <w:r w:rsidR="006A6103" w:rsidRPr="00022904">
        <w:rPr>
          <w:rFonts w:ascii="Times New Roman" w:hAnsi="Times New Roman" w:cs="Times New Roman"/>
          <w:sz w:val="24"/>
          <w:szCs w:val="24"/>
        </w:rPr>
        <w:t xml:space="preserve">the </w:t>
      </w:r>
      <w:r w:rsidR="004B5B65" w:rsidRPr="00022904">
        <w:rPr>
          <w:rFonts w:ascii="Times New Roman" w:hAnsi="Times New Roman" w:cs="Times New Roman"/>
          <w:sz w:val="24"/>
          <w:szCs w:val="24"/>
        </w:rPr>
        <w:t xml:space="preserve">entrance of the food </w:t>
      </w:r>
      <w:r w:rsidR="005E697C" w:rsidRPr="00022904">
        <w:rPr>
          <w:rFonts w:ascii="Times New Roman" w:hAnsi="Times New Roman" w:cs="Times New Roman"/>
          <w:sz w:val="24"/>
          <w:szCs w:val="24"/>
        </w:rPr>
        <w:t>allergens</w:t>
      </w:r>
      <w:r w:rsidR="004B5B65" w:rsidRPr="00022904">
        <w:rPr>
          <w:rFonts w:ascii="Times New Roman" w:hAnsi="Times New Roman" w:cs="Times New Roman"/>
          <w:sz w:val="24"/>
          <w:szCs w:val="24"/>
        </w:rPr>
        <w:t xml:space="preserve">. Such food </w:t>
      </w:r>
      <w:r w:rsidR="005E697C" w:rsidRPr="00022904">
        <w:rPr>
          <w:rFonts w:ascii="Times New Roman" w:hAnsi="Times New Roman" w:cs="Times New Roman"/>
          <w:sz w:val="24"/>
          <w:szCs w:val="24"/>
        </w:rPr>
        <w:t>includes</w:t>
      </w:r>
      <w:r w:rsidR="004B5B65" w:rsidRPr="00022904">
        <w:rPr>
          <w:rFonts w:ascii="Times New Roman" w:hAnsi="Times New Roman" w:cs="Times New Roman"/>
          <w:sz w:val="24"/>
          <w:szCs w:val="24"/>
        </w:rPr>
        <w:t xml:space="preserve"> </w:t>
      </w:r>
      <w:r w:rsidR="005E697C" w:rsidRPr="00022904">
        <w:rPr>
          <w:rFonts w:ascii="Times New Roman" w:hAnsi="Times New Roman" w:cs="Times New Roman"/>
          <w:sz w:val="24"/>
          <w:szCs w:val="24"/>
        </w:rPr>
        <w:t>peanuts</w:t>
      </w:r>
      <w:r w:rsidR="004B5B65" w:rsidRPr="00022904">
        <w:rPr>
          <w:rFonts w:ascii="Times New Roman" w:hAnsi="Times New Roman" w:cs="Times New Roman"/>
          <w:sz w:val="24"/>
          <w:szCs w:val="24"/>
        </w:rPr>
        <w:t xml:space="preserve"> and eggs. </w:t>
      </w:r>
    </w:p>
    <w:p w14:paraId="0F6F679A" w14:textId="35AD86A7" w:rsidR="005E697C" w:rsidRPr="00022904" w:rsidRDefault="005E697C" w:rsidP="004F50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t>Drug-drug interaction</w:t>
      </w:r>
    </w:p>
    <w:p w14:paraId="32F69A97" w14:textId="3BD566C9" w:rsidR="004F5082" w:rsidRPr="00022904" w:rsidRDefault="005E697C" w:rsidP="000229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904">
        <w:rPr>
          <w:rFonts w:ascii="Times New Roman" w:hAnsi="Times New Roman" w:cs="Times New Roman"/>
          <w:sz w:val="24"/>
          <w:szCs w:val="24"/>
        </w:rPr>
        <w:t xml:space="preserve">Tacrolimus is a polymer of </w:t>
      </w:r>
      <w:r w:rsidRPr="00022904">
        <w:rPr>
          <w:rFonts w:ascii="Times New Roman" w:hAnsi="Times New Roman" w:cs="Times New Roman"/>
          <w:sz w:val="24"/>
          <w:szCs w:val="24"/>
        </w:rPr>
        <w:t>P-glycoprotein</w:t>
      </w:r>
      <w:r w:rsidRPr="00022904">
        <w:rPr>
          <w:rFonts w:ascii="Times New Roman" w:hAnsi="Times New Roman" w:cs="Times New Roman"/>
          <w:sz w:val="24"/>
          <w:szCs w:val="24"/>
        </w:rPr>
        <w:t xml:space="preserve"> and therefore </w:t>
      </w:r>
      <w:r w:rsidR="006A6103" w:rsidRPr="00022904">
        <w:rPr>
          <w:rFonts w:ascii="Times New Roman" w:hAnsi="Times New Roman" w:cs="Times New Roman"/>
          <w:sz w:val="24"/>
          <w:szCs w:val="24"/>
        </w:rPr>
        <w:t>P-glycoprotein inductors and inhibitors</w:t>
      </w:r>
      <w:r w:rsidR="006A6103" w:rsidRPr="00022904">
        <w:rPr>
          <w:rFonts w:ascii="Times New Roman" w:hAnsi="Times New Roman" w:cs="Times New Roman"/>
          <w:sz w:val="24"/>
          <w:szCs w:val="24"/>
        </w:rPr>
        <w:t xml:space="preserve"> react with tacrolimus causing high or low concentrations of tacrolimus in the blood</w:t>
      </w:r>
      <w:r w:rsidR="004F5082" w:rsidRPr="00022904">
        <w:rPr>
          <w:rFonts w:ascii="Times New Roman" w:hAnsi="Times New Roman" w:cs="Times New Roman"/>
          <w:sz w:val="24"/>
          <w:szCs w:val="24"/>
        </w:rPr>
        <w:t xml:space="preserve"> </w:t>
      </w:r>
      <w:r w:rsidR="004F5082" w:rsidRPr="0002290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F5082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Rančić</w:t>
      </w:r>
      <w:r w:rsidR="004F5082"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2015)</w:t>
      </w:r>
      <w:r w:rsidR="006A6103" w:rsidRPr="00022904">
        <w:rPr>
          <w:rFonts w:ascii="Times New Roman" w:hAnsi="Times New Roman" w:cs="Times New Roman"/>
          <w:sz w:val="24"/>
          <w:szCs w:val="24"/>
        </w:rPr>
        <w:t xml:space="preserve">. Tacrolimus reacts with inhibitors such as omeprazole causing high tacrolimus concentration in </w:t>
      </w:r>
      <w:r w:rsidR="00022904" w:rsidRPr="00022904">
        <w:rPr>
          <w:rFonts w:ascii="Times New Roman" w:hAnsi="Times New Roman" w:cs="Times New Roman"/>
          <w:sz w:val="24"/>
          <w:szCs w:val="24"/>
        </w:rPr>
        <w:t xml:space="preserve">the </w:t>
      </w:r>
      <w:r w:rsidR="006A6103" w:rsidRPr="00022904">
        <w:rPr>
          <w:rFonts w:ascii="Times New Roman" w:hAnsi="Times New Roman" w:cs="Times New Roman"/>
          <w:sz w:val="24"/>
          <w:szCs w:val="24"/>
        </w:rPr>
        <w:t xml:space="preserve">blood. </w:t>
      </w:r>
    </w:p>
    <w:p w14:paraId="54FF740C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95CDA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5BF5F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A9B7A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4E6AD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610B6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7365F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82BB3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BDFD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A2959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6B6CB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AA6EC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C8000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F0AEB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0961B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4D289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1C335" w14:textId="77777777" w:rsidR="00022904" w:rsidRDefault="00022904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9BC68" w14:textId="240D7C2E" w:rsidR="004F5082" w:rsidRPr="00022904" w:rsidRDefault="004F5082" w:rsidP="004F50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D4C7EE2" w14:textId="77777777" w:rsidR="001F7013" w:rsidRPr="00022904" w:rsidRDefault="001F7013" w:rsidP="004F5082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Galli, E., </w:t>
      </w:r>
      <w:proofErr w:type="spellStart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Neri</w:t>
      </w:r>
      <w:proofErr w:type="spellEnd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Ricci, G., Baldo, E., Barone, M., Belloni Fortina, A., ... &amp; </w:t>
      </w:r>
      <w:proofErr w:type="spellStart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Eichenfield</w:t>
      </w:r>
      <w:proofErr w:type="spellEnd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F. (2016). Consensus conference on clinical management of pediatric atopic dermatitis. </w:t>
      </w:r>
      <w:r w:rsidRPr="000229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Italian journal of pediatrics</w:t>
      </w:r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229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1-25.</w:t>
      </w:r>
    </w:p>
    <w:p w14:paraId="5AAC96BE" w14:textId="77777777" w:rsidR="001F7013" w:rsidRPr="00022904" w:rsidRDefault="001F7013" w:rsidP="004F5082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Rančić, N. K., </w:t>
      </w:r>
      <w:proofErr w:type="spellStart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Vavić</w:t>
      </w:r>
      <w:proofErr w:type="spellEnd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N., Kovačević, A. M., </w:t>
      </w:r>
      <w:proofErr w:type="spellStart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Mikov</w:t>
      </w:r>
      <w:proofErr w:type="spellEnd"/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M., &amp; Dragojević-Simić, V. M. (2015). Drug-drug interactions of tacrolimus. </w:t>
      </w:r>
      <w:r w:rsidRPr="000229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Hospital Pharmacology-International Multidisciplinary Journal</w:t>
      </w:r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229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0229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291-296.</w:t>
      </w:r>
    </w:p>
    <w:p w14:paraId="04D4F601" w14:textId="77777777" w:rsidR="00022904" w:rsidRPr="00022904" w:rsidRDefault="00022904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2904" w:rsidRPr="000229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B442" w14:textId="77777777" w:rsidR="00BB64F5" w:rsidRDefault="00BB64F5" w:rsidP="00022904">
      <w:pPr>
        <w:spacing w:after="0" w:line="240" w:lineRule="auto"/>
      </w:pPr>
      <w:r>
        <w:separator/>
      </w:r>
    </w:p>
  </w:endnote>
  <w:endnote w:type="continuationSeparator" w:id="0">
    <w:p w14:paraId="00472BDF" w14:textId="77777777" w:rsidR="00BB64F5" w:rsidRDefault="00BB64F5" w:rsidP="0002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9CEA" w14:textId="77777777" w:rsidR="00BB64F5" w:rsidRDefault="00BB64F5" w:rsidP="00022904">
      <w:pPr>
        <w:spacing w:after="0" w:line="240" w:lineRule="auto"/>
      </w:pPr>
      <w:r>
        <w:separator/>
      </w:r>
    </w:p>
  </w:footnote>
  <w:footnote w:type="continuationSeparator" w:id="0">
    <w:p w14:paraId="1256011C" w14:textId="77777777" w:rsidR="00BB64F5" w:rsidRDefault="00BB64F5" w:rsidP="0002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3390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EC844F" w14:textId="1617C7CB" w:rsidR="00022904" w:rsidRDefault="000229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D32BD" w14:textId="77777777" w:rsidR="00022904" w:rsidRDefault="00022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C2700"/>
    <w:multiLevelType w:val="hybridMultilevel"/>
    <w:tmpl w:val="A15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1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81"/>
    <w:rsid w:val="00022904"/>
    <w:rsid w:val="001F7013"/>
    <w:rsid w:val="0023008F"/>
    <w:rsid w:val="00267E99"/>
    <w:rsid w:val="0031562B"/>
    <w:rsid w:val="003176E5"/>
    <w:rsid w:val="004375CB"/>
    <w:rsid w:val="004B5B65"/>
    <w:rsid w:val="004F5082"/>
    <w:rsid w:val="005E527B"/>
    <w:rsid w:val="005E697C"/>
    <w:rsid w:val="005F7925"/>
    <w:rsid w:val="00680419"/>
    <w:rsid w:val="006A6103"/>
    <w:rsid w:val="00887668"/>
    <w:rsid w:val="009177BC"/>
    <w:rsid w:val="009B6124"/>
    <w:rsid w:val="00A80681"/>
    <w:rsid w:val="00AC4771"/>
    <w:rsid w:val="00AD67BD"/>
    <w:rsid w:val="00B03B6A"/>
    <w:rsid w:val="00BA7151"/>
    <w:rsid w:val="00BB64F5"/>
    <w:rsid w:val="00BD3AC4"/>
    <w:rsid w:val="00D67808"/>
    <w:rsid w:val="00EF5B7B"/>
    <w:rsid w:val="00F71308"/>
    <w:rsid w:val="00FD2324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BE61"/>
  <w15:chartTrackingRefBased/>
  <w15:docId w15:val="{E1388E53-27F3-4DCA-AF03-EFD51ABA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904"/>
  </w:style>
  <w:style w:type="paragraph" w:styleId="Footer">
    <w:name w:val="footer"/>
    <w:basedOn w:val="Normal"/>
    <w:link w:val="FooterChar"/>
    <w:uiPriority w:val="99"/>
    <w:unhideWhenUsed/>
    <w:rsid w:val="0002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571</Words>
  <Characters>2877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Juma</dc:creator>
  <cp:keywords/>
  <dc:description/>
  <cp:lastModifiedBy>Beatrice Juma</cp:lastModifiedBy>
  <cp:revision>17</cp:revision>
  <dcterms:created xsi:type="dcterms:W3CDTF">2022-11-09T17:33:00Z</dcterms:created>
  <dcterms:modified xsi:type="dcterms:W3CDTF">2022-11-09T22:02:00Z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d56c3edb-5908-44c4-805f-d574e094dea8</vt:lpwstr>
  </property>
</Properties>
</file>