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4BF0" w14:textId="77777777" w:rsidR="00C15887" w:rsidRPr="00C15887" w:rsidRDefault="00C15887" w:rsidP="00C15887">
      <w:pPr>
        <w:spacing w:after="0" w:line="240" w:lineRule="auto"/>
        <w:outlineLvl w:val="2"/>
        <w:rPr>
          <w:rFonts w:ascii="Arial" w:eastAsia="Times New Roman" w:hAnsi="Arial" w:cs="Times New Roman"/>
          <w:b/>
          <w:bCs/>
          <w:color w:val="B40000"/>
          <w:sz w:val="27"/>
          <w:szCs w:val="27"/>
        </w:rPr>
      </w:pPr>
      <w:r w:rsidRPr="00C15887">
        <w:rPr>
          <w:rFonts w:ascii="Arial" w:eastAsia="Times New Roman" w:hAnsi="Arial" w:cs="Times New Roman"/>
          <w:b/>
          <w:bCs/>
          <w:color w:val="B40000"/>
          <w:sz w:val="27"/>
          <w:szCs w:val="27"/>
        </w:rPr>
        <w:t>Re: Week 11 Discussion: Dermatology Case Study</w:t>
      </w:r>
    </w:p>
    <w:p w14:paraId="78EA27DA" w14:textId="77777777" w:rsidR="00C15887" w:rsidRPr="00C15887" w:rsidRDefault="00C15887" w:rsidP="00C15887">
      <w:pPr>
        <w:spacing w:after="0" w:line="240" w:lineRule="auto"/>
        <w:rPr>
          <w:rFonts w:ascii="Times New Roman" w:eastAsia="Times New Roman" w:hAnsi="Times New Roman" w:cs="Times New Roman"/>
          <w:sz w:val="24"/>
          <w:szCs w:val="24"/>
        </w:rPr>
      </w:pPr>
      <w:r w:rsidRPr="00C15887">
        <w:rPr>
          <w:rFonts w:ascii="Times New Roman" w:eastAsia="Times New Roman" w:hAnsi="Times New Roman" w:cs="Times New Roman"/>
          <w:sz w:val="24"/>
          <w:szCs w:val="24"/>
        </w:rPr>
        <w:t>by </w:t>
      </w:r>
      <w:hyperlink r:id="rId4" w:history="1">
        <w:r w:rsidRPr="00C15887">
          <w:rPr>
            <w:rFonts w:ascii="Times New Roman" w:eastAsia="Times New Roman" w:hAnsi="Times New Roman" w:cs="Times New Roman"/>
            <w:color w:val="0000FF"/>
            <w:sz w:val="24"/>
            <w:szCs w:val="24"/>
            <w:u w:val="single"/>
          </w:rPr>
          <w:t xml:space="preserve">Irene </w:t>
        </w:r>
        <w:proofErr w:type="spellStart"/>
        <w:r w:rsidRPr="00C15887">
          <w:rPr>
            <w:rFonts w:ascii="Times New Roman" w:eastAsia="Times New Roman" w:hAnsi="Times New Roman" w:cs="Times New Roman"/>
            <w:color w:val="0000FF"/>
            <w:sz w:val="24"/>
            <w:szCs w:val="24"/>
            <w:u w:val="single"/>
          </w:rPr>
          <w:t>Kamikazi</w:t>
        </w:r>
        <w:proofErr w:type="spellEnd"/>
      </w:hyperlink>
      <w:r w:rsidRPr="00C15887">
        <w:rPr>
          <w:rFonts w:ascii="Times New Roman" w:eastAsia="Times New Roman" w:hAnsi="Times New Roman" w:cs="Times New Roman"/>
          <w:sz w:val="24"/>
          <w:szCs w:val="24"/>
        </w:rPr>
        <w:t> - Thursday, 10 November 2022, 12:08 PM</w:t>
      </w:r>
    </w:p>
    <w:p w14:paraId="4A07C52A" w14:textId="77777777" w:rsidR="00C15887" w:rsidRPr="00C15887" w:rsidRDefault="00C15887" w:rsidP="00C15887">
      <w:pPr>
        <w:shd w:val="clear" w:color="auto" w:fill="FFFFFF"/>
        <w:spacing w:after="0" w:line="240" w:lineRule="auto"/>
        <w:rPr>
          <w:rFonts w:ascii="Arial" w:eastAsia="Times New Roman" w:hAnsi="Arial" w:cs="Times New Roman"/>
          <w:color w:val="373A3C"/>
          <w:sz w:val="23"/>
          <w:szCs w:val="23"/>
        </w:rPr>
      </w:pPr>
      <w:r w:rsidRPr="00C15887">
        <w:rPr>
          <w:rFonts w:ascii="Arial" w:eastAsia="Times New Roman" w:hAnsi="Arial" w:cs="Times New Roman"/>
          <w:color w:val="373A3C"/>
          <w:sz w:val="23"/>
          <w:szCs w:val="23"/>
        </w:rPr>
        <w:t>Specific goals of treatment for J.F include reducing the pruritus associated with contact dermatitis, reducing the inflammation and discomfort associated with it (</w:t>
      </w:r>
      <w:proofErr w:type="spellStart"/>
      <w:r w:rsidRPr="00C15887">
        <w:rPr>
          <w:rFonts w:ascii="Arial" w:eastAsia="Times New Roman" w:hAnsi="Arial" w:cs="Times New Roman"/>
          <w:color w:val="373A3C"/>
          <w:sz w:val="23"/>
          <w:szCs w:val="23"/>
        </w:rPr>
        <w:t>Litchman</w:t>
      </w:r>
      <w:proofErr w:type="spellEnd"/>
      <w:r w:rsidRPr="00C15887">
        <w:rPr>
          <w:rFonts w:ascii="Arial" w:eastAsia="Times New Roman" w:hAnsi="Arial" w:cs="Times New Roman"/>
          <w:color w:val="373A3C"/>
          <w:sz w:val="23"/>
          <w:szCs w:val="23"/>
        </w:rPr>
        <w:t xml:space="preserve"> et al., 2022). Contact dermatitis can be treated with topical corticosteroids to reduce the inflammation. For mild cases, taking over the counter steroid creams such as 1% hydrocortisone cream should be helpful, however, J.F mentions that he has had no relief from this. If an OTC steroid cream is not effective, the patient can be prescribed a stronger steroid in pill form such as prednisone short-term (</w:t>
      </w:r>
      <w:proofErr w:type="spellStart"/>
      <w:r w:rsidRPr="00C15887">
        <w:rPr>
          <w:rFonts w:ascii="Arial" w:eastAsia="Times New Roman" w:hAnsi="Arial" w:cs="Times New Roman"/>
          <w:color w:val="373A3C"/>
          <w:sz w:val="23"/>
          <w:szCs w:val="23"/>
        </w:rPr>
        <w:t>Prok</w:t>
      </w:r>
      <w:proofErr w:type="spellEnd"/>
      <w:r w:rsidRPr="00C15887">
        <w:rPr>
          <w:rFonts w:ascii="Arial" w:eastAsia="Times New Roman" w:hAnsi="Arial" w:cs="Times New Roman"/>
          <w:color w:val="373A3C"/>
          <w:sz w:val="23"/>
          <w:szCs w:val="23"/>
        </w:rPr>
        <w:t xml:space="preserve"> &amp; McGovern, 2022). Prednisone is a stronger steroid and would be effective in treating the inflammation caused by the contact dermatitis systemically. High potency steroid creams could also be an </w:t>
      </w:r>
      <w:proofErr w:type="gramStart"/>
      <w:r w:rsidRPr="00C15887">
        <w:rPr>
          <w:rFonts w:ascii="Arial" w:eastAsia="Times New Roman" w:hAnsi="Arial" w:cs="Times New Roman"/>
          <w:color w:val="373A3C"/>
          <w:sz w:val="23"/>
          <w:szCs w:val="23"/>
        </w:rPr>
        <w:t>option,</w:t>
      </w:r>
      <w:proofErr w:type="gramEnd"/>
      <w:r w:rsidRPr="00C15887">
        <w:rPr>
          <w:rFonts w:ascii="Arial" w:eastAsia="Times New Roman" w:hAnsi="Arial" w:cs="Times New Roman"/>
          <w:color w:val="373A3C"/>
          <w:sz w:val="23"/>
          <w:szCs w:val="23"/>
        </w:rPr>
        <w:t xml:space="preserve"> however, they are not recommended for use on soft skin such as on the face (</w:t>
      </w:r>
      <w:proofErr w:type="spellStart"/>
      <w:r w:rsidRPr="00C15887">
        <w:rPr>
          <w:rFonts w:ascii="Arial" w:eastAsia="Times New Roman" w:hAnsi="Arial" w:cs="Times New Roman"/>
          <w:color w:val="373A3C"/>
          <w:sz w:val="23"/>
          <w:szCs w:val="23"/>
        </w:rPr>
        <w:t>Prok</w:t>
      </w:r>
      <w:proofErr w:type="spellEnd"/>
      <w:r w:rsidRPr="00C15887">
        <w:rPr>
          <w:rFonts w:ascii="Arial" w:eastAsia="Times New Roman" w:hAnsi="Arial" w:cs="Times New Roman"/>
          <w:color w:val="373A3C"/>
          <w:sz w:val="23"/>
          <w:szCs w:val="23"/>
        </w:rPr>
        <w:t xml:space="preserve"> &amp; McGovern, 2022).</w:t>
      </w:r>
      <w:r w:rsidRPr="00C15887">
        <w:rPr>
          <w:rFonts w:ascii="Arial" w:eastAsia="Times New Roman" w:hAnsi="Arial" w:cs="Times New Roman"/>
          <w:color w:val="373A3C"/>
          <w:sz w:val="23"/>
          <w:szCs w:val="23"/>
        </w:rPr>
        <w:br/>
      </w:r>
      <w:r w:rsidRPr="00C15887">
        <w:rPr>
          <w:rFonts w:ascii="Arial" w:eastAsia="Times New Roman" w:hAnsi="Arial" w:cs="Times New Roman"/>
          <w:color w:val="373A3C"/>
          <w:sz w:val="23"/>
          <w:szCs w:val="23"/>
        </w:rPr>
        <w:br/>
        <w:t xml:space="preserve">Prednisone should be started at the lowest dose possible and tapered slowly in order to decrease the occurrence of adverse effects. The same should be done when discontinuing the medication (Woo &amp; Robinson, 2020). The doses should be titrated depending on the success of the medication, that is a decrease in the itching and swelling. The patient should start to feel better with less discomfort (Woo &amp; Robinson, 2020). It is important for the patient to understand the medication they are taking, what it is meant to be treating, how to take the medication and side effects to report. The patient should take the medication as ordered, avoid missing doses or doubling them. Even if the patient feels better and wants to stop the medication, he should not discontinue usage without first consulting the doctor as this medication should not be stopped abruptly (Woo &amp; Robinson, 2020). A </w:t>
      </w:r>
      <w:proofErr w:type="gramStart"/>
      <w:r w:rsidRPr="00C15887">
        <w:rPr>
          <w:rFonts w:ascii="Arial" w:eastAsia="Times New Roman" w:hAnsi="Arial" w:cs="Times New Roman"/>
          <w:color w:val="373A3C"/>
          <w:sz w:val="23"/>
          <w:szCs w:val="23"/>
        </w:rPr>
        <w:t>life threatening</w:t>
      </w:r>
      <w:proofErr w:type="gramEnd"/>
      <w:r w:rsidRPr="00C15887">
        <w:rPr>
          <w:rFonts w:ascii="Arial" w:eastAsia="Times New Roman" w:hAnsi="Arial" w:cs="Times New Roman"/>
          <w:color w:val="373A3C"/>
          <w:sz w:val="23"/>
          <w:szCs w:val="23"/>
        </w:rPr>
        <w:t xml:space="preserve"> occurrence such as adrenal insufficiency would require stopping of the medication, however, it is important to note that this can also happen as a result of abrupt discontinuation of the medication. Another reaction that would result in discontinuation of the medication is an allergic reaction.</w:t>
      </w:r>
      <w:r w:rsidRPr="00C15887">
        <w:rPr>
          <w:rFonts w:ascii="Arial" w:eastAsia="Times New Roman" w:hAnsi="Arial" w:cs="Times New Roman"/>
          <w:color w:val="373A3C"/>
          <w:sz w:val="23"/>
          <w:szCs w:val="23"/>
        </w:rPr>
        <w:br/>
      </w:r>
      <w:r w:rsidRPr="00C15887">
        <w:rPr>
          <w:rFonts w:ascii="Arial" w:eastAsia="Times New Roman" w:hAnsi="Arial" w:cs="Times New Roman"/>
          <w:color w:val="373A3C"/>
          <w:sz w:val="23"/>
          <w:szCs w:val="23"/>
        </w:rPr>
        <w:br/>
        <w:t>If the prednisone was to be ineffective in treating J.F, I would consider steroid injections such as triamcinolone acetonide or budesonide as second line treatment therapy (</w:t>
      </w:r>
      <w:proofErr w:type="spellStart"/>
      <w:r w:rsidRPr="00C15887">
        <w:rPr>
          <w:rFonts w:ascii="Arial" w:eastAsia="Times New Roman" w:hAnsi="Arial" w:cs="Times New Roman"/>
          <w:color w:val="373A3C"/>
          <w:sz w:val="23"/>
          <w:szCs w:val="23"/>
        </w:rPr>
        <w:t>Prok</w:t>
      </w:r>
      <w:proofErr w:type="spellEnd"/>
      <w:r w:rsidRPr="00C15887">
        <w:rPr>
          <w:rFonts w:ascii="Arial" w:eastAsia="Times New Roman" w:hAnsi="Arial" w:cs="Times New Roman"/>
          <w:color w:val="373A3C"/>
          <w:sz w:val="23"/>
          <w:szCs w:val="23"/>
        </w:rPr>
        <w:t xml:space="preserve"> &amp; McGovern, 2022). As with all drugs, there is potential for </w:t>
      </w:r>
      <w:proofErr w:type="gramStart"/>
      <w:r w:rsidRPr="00C15887">
        <w:rPr>
          <w:rFonts w:ascii="Arial" w:eastAsia="Times New Roman" w:hAnsi="Arial" w:cs="Times New Roman"/>
          <w:color w:val="373A3C"/>
          <w:sz w:val="23"/>
          <w:szCs w:val="23"/>
        </w:rPr>
        <w:t>drug to drug</w:t>
      </w:r>
      <w:proofErr w:type="gramEnd"/>
      <w:r w:rsidRPr="00C15887">
        <w:rPr>
          <w:rFonts w:ascii="Arial" w:eastAsia="Times New Roman" w:hAnsi="Arial" w:cs="Times New Roman"/>
          <w:color w:val="373A3C"/>
          <w:sz w:val="23"/>
          <w:szCs w:val="23"/>
        </w:rPr>
        <w:t xml:space="preserve"> interactions with corticosteroids. The use of NSAIDs concomitantly with corticosteroids can increase the risk for gastrointestinal adverse effects (Woo &amp; Robinson, 2016). Other OTC and alternative medications that J.F could utilize include antihistamines such as cetirizine for the itching (</w:t>
      </w:r>
      <w:proofErr w:type="spellStart"/>
      <w:r w:rsidRPr="00C15887">
        <w:rPr>
          <w:rFonts w:ascii="Arial" w:eastAsia="Times New Roman" w:hAnsi="Arial" w:cs="Times New Roman"/>
          <w:color w:val="373A3C"/>
          <w:sz w:val="23"/>
          <w:szCs w:val="23"/>
        </w:rPr>
        <w:t>Litchman</w:t>
      </w:r>
      <w:proofErr w:type="spellEnd"/>
      <w:r w:rsidRPr="00C15887">
        <w:rPr>
          <w:rFonts w:ascii="Arial" w:eastAsia="Times New Roman" w:hAnsi="Arial" w:cs="Times New Roman"/>
          <w:color w:val="373A3C"/>
          <w:sz w:val="23"/>
          <w:szCs w:val="23"/>
        </w:rPr>
        <w:t xml:space="preserve"> et al., 2022). To prevent a reoccurrence, the patient can be taught to recognize poison ivy and avoid the plant. When hiking or in the woods, he should wear long sleeves and pants. When in contact with the plant, he should remove all clothing as soon as possible, and thoroughly wash with warm or hot water and a damp washcloth, wiping in one direction to reduce irritation (</w:t>
      </w:r>
      <w:proofErr w:type="spellStart"/>
      <w:r w:rsidRPr="00C15887">
        <w:rPr>
          <w:rFonts w:ascii="Arial" w:eastAsia="Times New Roman" w:hAnsi="Arial" w:cs="Times New Roman"/>
          <w:color w:val="373A3C"/>
          <w:sz w:val="23"/>
          <w:szCs w:val="23"/>
        </w:rPr>
        <w:t>Prok</w:t>
      </w:r>
      <w:proofErr w:type="spellEnd"/>
      <w:r w:rsidRPr="00C15887">
        <w:rPr>
          <w:rFonts w:ascii="Arial" w:eastAsia="Times New Roman" w:hAnsi="Arial" w:cs="Times New Roman"/>
          <w:color w:val="373A3C"/>
          <w:sz w:val="23"/>
          <w:szCs w:val="23"/>
        </w:rPr>
        <w:t xml:space="preserve"> &amp; McGovern, 2022). </w:t>
      </w:r>
      <w:proofErr w:type="gramStart"/>
      <w:r w:rsidRPr="00C15887">
        <w:rPr>
          <w:rFonts w:ascii="Arial" w:eastAsia="Times New Roman" w:hAnsi="Arial" w:cs="Times New Roman"/>
          <w:color w:val="373A3C"/>
          <w:sz w:val="23"/>
          <w:szCs w:val="23"/>
        </w:rPr>
        <w:t>In regards to</w:t>
      </w:r>
      <w:proofErr w:type="gramEnd"/>
      <w:r w:rsidRPr="00C15887">
        <w:rPr>
          <w:rFonts w:ascii="Arial" w:eastAsia="Times New Roman" w:hAnsi="Arial" w:cs="Times New Roman"/>
          <w:color w:val="373A3C"/>
          <w:sz w:val="23"/>
          <w:szCs w:val="23"/>
        </w:rPr>
        <w:t xml:space="preserve"> taking steroids, it is important for the patient to remember that they cause immunosuppression, therefore making sure to avoid infection is important. Woo &amp; Robinson (2020) recommend a diet high in protein, potassium, calcium and low sodium and carbohydrates </w:t>
      </w:r>
      <w:proofErr w:type="gramStart"/>
      <w:r w:rsidRPr="00C15887">
        <w:rPr>
          <w:rFonts w:ascii="Arial" w:eastAsia="Times New Roman" w:hAnsi="Arial" w:cs="Times New Roman"/>
          <w:color w:val="373A3C"/>
          <w:sz w:val="23"/>
          <w:szCs w:val="23"/>
        </w:rPr>
        <w:t>in order to</w:t>
      </w:r>
      <w:proofErr w:type="gramEnd"/>
      <w:r w:rsidRPr="00C15887">
        <w:rPr>
          <w:rFonts w:ascii="Arial" w:eastAsia="Times New Roman" w:hAnsi="Arial" w:cs="Times New Roman"/>
          <w:color w:val="373A3C"/>
          <w:sz w:val="23"/>
          <w:szCs w:val="23"/>
        </w:rPr>
        <w:t xml:space="preserve"> prevent some of the adverse reactions common with corticosteroids.</w:t>
      </w:r>
      <w:r w:rsidRPr="00C15887">
        <w:rPr>
          <w:rFonts w:ascii="Arial" w:eastAsia="Times New Roman" w:hAnsi="Arial" w:cs="Times New Roman"/>
          <w:color w:val="373A3C"/>
          <w:sz w:val="23"/>
          <w:szCs w:val="23"/>
        </w:rPr>
        <w:br/>
      </w:r>
      <w:r w:rsidRPr="00C15887">
        <w:rPr>
          <w:rFonts w:ascii="Arial" w:eastAsia="Times New Roman" w:hAnsi="Arial" w:cs="Times New Roman"/>
          <w:color w:val="373A3C"/>
          <w:sz w:val="23"/>
          <w:szCs w:val="23"/>
        </w:rPr>
        <w:br/>
        <w:t>References</w:t>
      </w:r>
      <w:r w:rsidRPr="00C15887">
        <w:rPr>
          <w:rFonts w:ascii="Arial" w:eastAsia="Times New Roman" w:hAnsi="Arial" w:cs="Times New Roman"/>
          <w:color w:val="373A3C"/>
          <w:sz w:val="23"/>
          <w:szCs w:val="23"/>
        </w:rPr>
        <w:br/>
      </w:r>
      <w:r w:rsidRPr="00C15887">
        <w:rPr>
          <w:rFonts w:ascii="Arial" w:eastAsia="Times New Roman" w:hAnsi="Arial" w:cs="Times New Roman"/>
          <w:color w:val="373A3C"/>
          <w:sz w:val="23"/>
          <w:szCs w:val="23"/>
        </w:rPr>
        <w:br/>
      </w:r>
      <w:proofErr w:type="spellStart"/>
      <w:r w:rsidRPr="00C15887">
        <w:rPr>
          <w:rFonts w:ascii="Arial" w:eastAsia="Times New Roman" w:hAnsi="Arial" w:cs="Times New Roman"/>
          <w:color w:val="373A3C"/>
          <w:sz w:val="23"/>
          <w:szCs w:val="23"/>
        </w:rPr>
        <w:t>Litchman</w:t>
      </w:r>
      <w:proofErr w:type="spellEnd"/>
      <w:r w:rsidRPr="00C15887">
        <w:rPr>
          <w:rFonts w:ascii="Arial" w:eastAsia="Times New Roman" w:hAnsi="Arial" w:cs="Times New Roman"/>
          <w:color w:val="373A3C"/>
          <w:sz w:val="23"/>
          <w:szCs w:val="23"/>
        </w:rPr>
        <w:t xml:space="preserve">, G., Nair, P. A., Atwater, A. R., &amp; </w:t>
      </w:r>
      <w:proofErr w:type="spellStart"/>
      <w:r w:rsidRPr="00C15887">
        <w:rPr>
          <w:rFonts w:ascii="Arial" w:eastAsia="Times New Roman" w:hAnsi="Arial" w:cs="Times New Roman"/>
          <w:color w:val="373A3C"/>
          <w:sz w:val="23"/>
          <w:szCs w:val="23"/>
        </w:rPr>
        <w:t>Bhutta</w:t>
      </w:r>
      <w:proofErr w:type="spellEnd"/>
      <w:r w:rsidRPr="00C15887">
        <w:rPr>
          <w:rFonts w:ascii="Arial" w:eastAsia="Times New Roman" w:hAnsi="Arial" w:cs="Times New Roman"/>
          <w:color w:val="373A3C"/>
          <w:sz w:val="23"/>
          <w:szCs w:val="23"/>
        </w:rPr>
        <w:t xml:space="preserve">, B. S. (2022, September 5). Contact dermatitis. National Library of </w:t>
      </w:r>
      <w:proofErr w:type="gramStart"/>
      <w:r w:rsidRPr="00C15887">
        <w:rPr>
          <w:rFonts w:ascii="Arial" w:eastAsia="Times New Roman" w:hAnsi="Arial" w:cs="Times New Roman"/>
          <w:color w:val="373A3C"/>
          <w:sz w:val="23"/>
          <w:szCs w:val="23"/>
        </w:rPr>
        <w:t>Medicine .</w:t>
      </w:r>
      <w:proofErr w:type="gramEnd"/>
      <w:r w:rsidRPr="00C15887">
        <w:rPr>
          <w:rFonts w:ascii="Arial" w:eastAsia="Times New Roman" w:hAnsi="Arial" w:cs="Times New Roman"/>
          <w:color w:val="373A3C"/>
          <w:sz w:val="23"/>
          <w:szCs w:val="23"/>
        </w:rPr>
        <w:t xml:space="preserve"> Retrieved November 10, 2022, from </w:t>
      </w:r>
      <w:r w:rsidRPr="00C15887">
        <w:rPr>
          <w:rFonts w:ascii="Arial" w:eastAsia="Times New Roman" w:hAnsi="Arial" w:cs="Times New Roman"/>
          <w:color w:val="373A3C"/>
          <w:sz w:val="23"/>
          <w:szCs w:val="23"/>
        </w:rPr>
        <w:lastRenderedPageBreak/>
        <w:t>https://www.ncbi.nlm.nih.gov/books/NBK459230/</w:t>
      </w:r>
      <w:r w:rsidRPr="00C15887">
        <w:rPr>
          <w:rFonts w:ascii="Arial" w:eastAsia="Times New Roman" w:hAnsi="Arial" w:cs="Times New Roman"/>
          <w:color w:val="373A3C"/>
          <w:sz w:val="23"/>
          <w:szCs w:val="23"/>
        </w:rPr>
        <w:br/>
      </w:r>
      <w:r w:rsidRPr="00C15887">
        <w:rPr>
          <w:rFonts w:ascii="Arial" w:eastAsia="Times New Roman" w:hAnsi="Arial" w:cs="Times New Roman"/>
          <w:color w:val="373A3C"/>
          <w:sz w:val="23"/>
          <w:szCs w:val="23"/>
        </w:rPr>
        <w:br/>
      </w:r>
      <w:proofErr w:type="spellStart"/>
      <w:r w:rsidRPr="00C15887">
        <w:rPr>
          <w:rFonts w:ascii="Arial" w:eastAsia="Times New Roman" w:hAnsi="Arial" w:cs="Times New Roman"/>
          <w:color w:val="373A3C"/>
          <w:sz w:val="23"/>
          <w:szCs w:val="23"/>
        </w:rPr>
        <w:t>Prok</w:t>
      </w:r>
      <w:proofErr w:type="spellEnd"/>
      <w:r w:rsidRPr="00C15887">
        <w:rPr>
          <w:rFonts w:ascii="Arial" w:eastAsia="Times New Roman" w:hAnsi="Arial" w:cs="Times New Roman"/>
          <w:color w:val="373A3C"/>
          <w:sz w:val="23"/>
          <w:szCs w:val="23"/>
        </w:rPr>
        <w:t>, L., &amp; McGovern, T. (2021, April 2). Patient education: Poison ivy (Beyond the Basics). UpToDate. Retrieved November 10, 2022, from https://www.uptodate.com/contents/poison-ivy-beyond-the-basics</w:t>
      </w:r>
      <w:r w:rsidRPr="00C15887">
        <w:rPr>
          <w:rFonts w:ascii="Arial" w:eastAsia="Times New Roman" w:hAnsi="Arial" w:cs="Times New Roman"/>
          <w:color w:val="373A3C"/>
          <w:sz w:val="23"/>
          <w:szCs w:val="23"/>
        </w:rPr>
        <w:br/>
      </w:r>
      <w:r w:rsidRPr="00C15887">
        <w:rPr>
          <w:rFonts w:ascii="Arial" w:eastAsia="Times New Roman" w:hAnsi="Arial" w:cs="Times New Roman"/>
          <w:color w:val="373A3C"/>
          <w:sz w:val="23"/>
          <w:szCs w:val="23"/>
        </w:rPr>
        <w:br/>
        <w:t xml:space="preserve">Woo, T. M., &amp; Robinson, M. V. (2020). Pharmacotherapeutics for advanced practice nurse prescribers (5th ed.). </w:t>
      </w:r>
      <w:proofErr w:type="spellStart"/>
      <w:r w:rsidRPr="00C15887">
        <w:rPr>
          <w:rFonts w:ascii="Arial" w:eastAsia="Times New Roman" w:hAnsi="Arial" w:cs="Times New Roman"/>
          <w:color w:val="373A3C"/>
          <w:sz w:val="23"/>
          <w:szCs w:val="23"/>
        </w:rPr>
        <w:t>F.a.</w:t>
      </w:r>
      <w:proofErr w:type="spellEnd"/>
      <w:r w:rsidRPr="00C15887">
        <w:rPr>
          <w:rFonts w:ascii="Arial" w:eastAsia="Times New Roman" w:hAnsi="Arial" w:cs="Times New Roman"/>
          <w:color w:val="373A3C"/>
          <w:sz w:val="23"/>
          <w:szCs w:val="23"/>
        </w:rPr>
        <w:t xml:space="preserve"> Davis Company.</w:t>
      </w:r>
    </w:p>
    <w:p w14:paraId="2723B68C" w14:textId="77777777" w:rsidR="00C15887" w:rsidRPr="00C15887" w:rsidRDefault="00C15887" w:rsidP="00C15887">
      <w:pPr>
        <w:shd w:val="clear" w:color="auto" w:fill="FFFFFF"/>
        <w:spacing w:after="0" w:line="240" w:lineRule="auto"/>
        <w:rPr>
          <w:rFonts w:ascii="Arial" w:eastAsia="Times New Roman" w:hAnsi="Arial" w:cs="Times New Roman"/>
          <w:i/>
          <w:iCs/>
          <w:color w:val="373A3C"/>
          <w:sz w:val="23"/>
          <w:szCs w:val="23"/>
        </w:rPr>
      </w:pPr>
      <w:r w:rsidRPr="00C15887">
        <w:rPr>
          <w:rFonts w:ascii="Arial" w:eastAsia="Times New Roman" w:hAnsi="Arial" w:cs="Times New Roman"/>
          <w:i/>
          <w:iCs/>
          <w:color w:val="373A3C"/>
          <w:sz w:val="18"/>
          <w:szCs w:val="18"/>
        </w:rPr>
        <w:t>611 words</w:t>
      </w:r>
    </w:p>
    <w:p w14:paraId="496B178A" w14:textId="201EEDFB" w:rsidR="00C15887" w:rsidRDefault="00C15887"/>
    <w:p w14:paraId="5D9C76D8" w14:textId="5688334E" w:rsidR="00C15887" w:rsidRDefault="00C15887"/>
    <w:p w14:paraId="42251452" w14:textId="23897797" w:rsidR="00C15887" w:rsidRDefault="00C15887"/>
    <w:p w14:paraId="48DD04F7" w14:textId="77777777" w:rsidR="00C15887" w:rsidRPr="00C15887" w:rsidRDefault="00C15887" w:rsidP="00C15887">
      <w:pPr>
        <w:spacing w:after="0" w:line="240" w:lineRule="auto"/>
        <w:outlineLvl w:val="2"/>
        <w:rPr>
          <w:rFonts w:ascii="Arial" w:eastAsia="Times New Roman" w:hAnsi="Arial" w:cs="Arial"/>
          <w:b/>
          <w:bCs/>
          <w:color w:val="B40000"/>
          <w:sz w:val="27"/>
          <w:szCs w:val="27"/>
        </w:rPr>
      </w:pPr>
      <w:r w:rsidRPr="00C15887">
        <w:rPr>
          <w:rFonts w:ascii="Arial" w:eastAsia="Times New Roman" w:hAnsi="Arial" w:cs="Arial"/>
          <w:b/>
          <w:bCs/>
          <w:color w:val="B40000"/>
          <w:sz w:val="27"/>
          <w:szCs w:val="27"/>
        </w:rPr>
        <w:t>Re: Week 11 Discussion: Dermatology Case Study</w:t>
      </w:r>
    </w:p>
    <w:p w14:paraId="62145CCF" w14:textId="77777777" w:rsidR="00C15887" w:rsidRPr="00C15887" w:rsidRDefault="00C15887" w:rsidP="00C15887">
      <w:pPr>
        <w:spacing w:after="0" w:line="240" w:lineRule="auto"/>
        <w:rPr>
          <w:rFonts w:ascii="Times New Roman" w:eastAsia="Times New Roman" w:hAnsi="Times New Roman" w:cs="Times New Roman"/>
          <w:sz w:val="24"/>
          <w:szCs w:val="24"/>
        </w:rPr>
      </w:pPr>
      <w:r w:rsidRPr="00C15887">
        <w:rPr>
          <w:rFonts w:ascii="Times New Roman" w:eastAsia="Times New Roman" w:hAnsi="Times New Roman" w:cs="Times New Roman"/>
          <w:sz w:val="24"/>
          <w:szCs w:val="24"/>
        </w:rPr>
        <w:t>by </w:t>
      </w:r>
      <w:hyperlink r:id="rId5" w:history="1">
        <w:r w:rsidRPr="00C15887">
          <w:rPr>
            <w:rFonts w:ascii="Times New Roman" w:eastAsia="Times New Roman" w:hAnsi="Times New Roman" w:cs="Times New Roman"/>
            <w:color w:val="0000FF"/>
            <w:sz w:val="24"/>
            <w:szCs w:val="24"/>
            <w:u w:val="single"/>
          </w:rPr>
          <w:t>Raynor Clarke</w:t>
        </w:r>
      </w:hyperlink>
      <w:r w:rsidRPr="00C15887">
        <w:rPr>
          <w:rFonts w:ascii="Times New Roman" w:eastAsia="Times New Roman" w:hAnsi="Times New Roman" w:cs="Times New Roman"/>
          <w:sz w:val="24"/>
          <w:szCs w:val="24"/>
        </w:rPr>
        <w:t> - Wednesday, 9 November 2022, 11:46 PM</w:t>
      </w:r>
    </w:p>
    <w:p w14:paraId="42394C50" w14:textId="77777777" w:rsidR="00C15887" w:rsidRPr="00C15887" w:rsidRDefault="00C15887" w:rsidP="00C15887">
      <w:pPr>
        <w:shd w:val="clear" w:color="auto" w:fill="FFFFFF"/>
        <w:spacing w:after="0" w:line="240" w:lineRule="auto"/>
        <w:rPr>
          <w:rFonts w:ascii="Arial" w:eastAsia="Times New Roman" w:hAnsi="Arial" w:cs="Arial"/>
          <w:color w:val="373A3C"/>
          <w:sz w:val="23"/>
          <w:szCs w:val="23"/>
        </w:rPr>
      </w:pPr>
      <w:r w:rsidRPr="00C15887">
        <w:rPr>
          <w:rFonts w:ascii="Arial" w:eastAsia="Times New Roman" w:hAnsi="Arial" w:cs="Arial"/>
          <w:color w:val="373A3C"/>
          <w:sz w:val="23"/>
          <w:szCs w:val="23"/>
        </w:rPr>
        <w:t xml:space="preserve">      According to Martin et al. (2018), The specific target treatment for Jason that the APRN would recommend is the most effective definitive treatment is finding and removing the allergen; consequently, if his condition improves, he should avoid future skin exposure to the allergen that was the source of the problem (Martin et al., 2018). In addition, </w:t>
      </w:r>
      <w:proofErr w:type="gramStart"/>
      <w:r w:rsidRPr="00C15887">
        <w:rPr>
          <w:rFonts w:ascii="Arial" w:eastAsia="Times New Roman" w:hAnsi="Arial" w:cs="Arial"/>
          <w:color w:val="373A3C"/>
          <w:sz w:val="23"/>
          <w:szCs w:val="23"/>
        </w:rPr>
        <w:t>This</w:t>
      </w:r>
      <w:proofErr w:type="gramEnd"/>
      <w:r w:rsidRPr="00C15887">
        <w:rPr>
          <w:rFonts w:ascii="Arial" w:eastAsia="Times New Roman" w:hAnsi="Arial" w:cs="Arial"/>
          <w:color w:val="373A3C"/>
          <w:sz w:val="23"/>
          <w:szCs w:val="23"/>
        </w:rPr>
        <w:t xml:space="preserve"> includes removing the patient from the environment that contains those compounds and boosting the metabolism and elimination of allergens in the body. Furthermore, restoring the skin barrier and minimizing skin inflammation is critical (Li et al., 2021).</w:t>
      </w:r>
      <w:r w:rsidRPr="00C15887">
        <w:rPr>
          <w:rFonts w:ascii="Arial" w:eastAsia="Times New Roman" w:hAnsi="Arial" w:cs="Arial"/>
          <w:color w:val="373A3C"/>
          <w:sz w:val="23"/>
          <w:szCs w:val="23"/>
        </w:rPr>
        <w:br/>
        <w:t>Furthermore, the integrity of Jason's skin should remain optimal within the limitations of the disease, as evidenced by the intact skin integrity. Also, he should be free from secondary infection (Martin et al., 2018). Furthermore, to decrease the immune response to urushiol, topical and systemic corticosteroids treat contact dermatitis (Butt et al., 2022). Therefore, in Jason's specific case, the APRN may prescribe oral corticosteroids.</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      Because oral corticosteroids are typically reserved and recommended for moderate to severe contact dermatitis, they should be prescribed for more extended periods when medically required to avoid rebound dermatitis (Butt et al., 2022). Additional studies have found that a minimum of 14-21 days of oral corticosteroid treatment is required when treating contact dermatitis, as the hypersensitive reaction can take up to 14 days to emerge clinically (Butt et al., 2022). Moreover, based on these findings, emergency physicians may be able to lower the incidence of ED repeat visits if patients follow treatment recommendations of 14-21 days when medically acceptable (Butt et al., 2022). It is critical to determine how much changes in disease barrier function affect skin permeability, such as the appearance and characteristics of Jason's skin (</w:t>
      </w:r>
      <w:proofErr w:type="spellStart"/>
      <w:r w:rsidRPr="00C15887">
        <w:rPr>
          <w:rFonts w:ascii="Arial" w:eastAsia="Times New Roman" w:hAnsi="Arial" w:cs="Arial"/>
          <w:color w:val="373A3C"/>
          <w:sz w:val="23"/>
          <w:szCs w:val="23"/>
        </w:rPr>
        <w:t>Dasht</w:t>
      </w:r>
      <w:proofErr w:type="spellEnd"/>
      <w:r w:rsidRPr="00C15887">
        <w:rPr>
          <w:rFonts w:ascii="Arial" w:eastAsia="Times New Roman" w:hAnsi="Arial" w:cs="Arial"/>
          <w:color w:val="373A3C"/>
          <w:sz w:val="23"/>
          <w:szCs w:val="23"/>
        </w:rPr>
        <w:t xml:space="preserve"> </w:t>
      </w:r>
      <w:proofErr w:type="spellStart"/>
      <w:r w:rsidRPr="00C15887">
        <w:rPr>
          <w:rFonts w:ascii="Arial" w:eastAsia="Times New Roman" w:hAnsi="Arial" w:cs="Arial"/>
          <w:color w:val="373A3C"/>
          <w:sz w:val="23"/>
          <w:szCs w:val="23"/>
        </w:rPr>
        <w:t>Bozorg</w:t>
      </w:r>
      <w:proofErr w:type="spellEnd"/>
      <w:r w:rsidRPr="00C15887">
        <w:rPr>
          <w:rFonts w:ascii="Arial" w:eastAsia="Times New Roman" w:hAnsi="Arial" w:cs="Arial"/>
          <w:color w:val="373A3C"/>
          <w:sz w:val="23"/>
          <w:szCs w:val="23"/>
        </w:rPr>
        <w:t xml:space="preserve"> et al., 2022). Furthermore, the temperature can indicate </w:t>
      </w:r>
      <w:proofErr w:type="gramStart"/>
      <w:r w:rsidRPr="00C15887">
        <w:rPr>
          <w:rFonts w:ascii="Arial" w:eastAsia="Times New Roman" w:hAnsi="Arial" w:cs="Arial"/>
          <w:color w:val="373A3C"/>
          <w:sz w:val="23"/>
          <w:szCs w:val="23"/>
        </w:rPr>
        <w:t>whether or not</w:t>
      </w:r>
      <w:proofErr w:type="gramEnd"/>
      <w:r w:rsidRPr="00C15887">
        <w:rPr>
          <w:rFonts w:ascii="Arial" w:eastAsia="Times New Roman" w:hAnsi="Arial" w:cs="Arial"/>
          <w:color w:val="373A3C"/>
          <w:sz w:val="23"/>
          <w:szCs w:val="23"/>
        </w:rPr>
        <w:t xml:space="preserve"> the patient is suffering from a secondary source of infection (El-Radhi et al., 2019). Finally, the severity of the condition influences therapeutic management (</w:t>
      </w:r>
      <w:proofErr w:type="spellStart"/>
      <w:r w:rsidRPr="00C15887">
        <w:rPr>
          <w:rFonts w:ascii="Arial" w:eastAsia="Times New Roman" w:hAnsi="Arial" w:cs="Arial"/>
          <w:color w:val="373A3C"/>
          <w:sz w:val="23"/>
          <w:szCs w:val="23"/>
        </w:rPr>
        <w:t>Kanabaj</w:t>
      </w:r>
      <w:proofErr w:type="spellEnd"/>
      <w:r w:rsidRPr="00C15887">
        <w:rPr>
          <w:rFonts w:ascii="Arial" w:eastAsia="Times New Roman" w:hAnsi="Arial" w:cs="Arial"/>
          <w:color w:val="373A3C"/>
          <w:sz w:val="23"/>
          <w:szCs w:val="23"/>
        </w:rPr>
        <w:t xml:space="preserve"> et al., 2021). Allergens and irritants must be avoided, especially in contact dermatitis. Moreover, treatment for contact dermatitis should be tailored to the stage of the disease (</w:t>
      </w:r>
      <w:proofErr w:type="spellStart"/>
      <w:r w:rsidRPr="00C15887">
        <w:rPr>
          <w:rFonts w:ascii="Arial" w:eastAsia="Times New Roman" w:hAnsi="Arial" w:cs="Arial"/>
          <w:color w:val="373A3C"/>
          <w:sz w:val="23"/>
          <w:szCs w:val="23"/>
        </w:rPr>
        <w:t>Kanabaj</w:t>
      </w:r>
      <w:proofErr w:type="spellEnd"/>
      <w:r w:rsidRPr="00C15887">
        <w:rPr>
          <w:rFonts w:ascii="Arial" w:eastAsia="Times New Roman" w:hAnsi="Arial" w:cs="Arial"/>
          <w:color w:val="373A3C"/>
          <w:sz w:val="23"/>
          <w:szCs w:val="23"/>
        </w:rPr>
        <w:t xml:space="preserve"> et al., 2021). For example, prednisolone and prednisone are corticosteroid therapy has been linked to various side effects. Additionally, adverse effects are more likely in patients who get glucocorticoids in large dosages or for an extended period (</w:t>
      </w:r>
      <w:proofErr w:type="spellStart"/>
      <w:r w:rsidRPr="00C15887">
        <w:rPr>
          <w:rFonts w:ascii="Arial" w:eastAsia="Times New Roman" w:hAnsi="Arial" w:cs="Arial"/>
          <w:color w:val="373A3C"/>
          <w:sz w:val="23"/>
          <w:szCs w:val="23"/>
        </w:rPr>
        <w:t>Schijvens</w:t>
      </w:r>
      <w:proofErr w:type="spellEnd"/>
      <w:r w:rsidRPr="00C15887">
        <w:rPr>
          <w:rFonts w:ascii="Arial" w:eastAsia="Times New Roman" w:hAnsi="Arial" w:cs="Arial"/>
          <w:color w:val="373A3C"/>
          <w:sz w:val="23"/>
          <w:szCs w:val="23"/>
        </w:rPr>
        <w:t xml:space="preserve"> et al., 2019). Furthermore, Skin fragility, weight gain, an increased risk of infections, and fractures are all possible side effects. </w:t>
      </w:r>
      <w:r w:rsidRPr="00C15887">
        <w:rPr>
          <w:rFonts w:ascii="Arial" w:eastAsia="Times New Roman" w:hAnsi="Arial" w:cs="Arial"/>
          <w:color w:val="373A3C"/>
          <w:sz w:val="23"/>
          <w:szCs w:val="23"/>
        </w:rPr>
        <w:lastRenderedPageBreak/>
        <w:t>Moreover, hypertension, hyperglycemia, and dyslipidemia have significant cardiovascular and metabolic repercussions (</w:t>
      </w:r>
      <w:proofErr w:type="spellStart"/>
      <w:r w:rsidRPr="00C15887">
        <w:rPr>
          <w:rFonts w:ascii="Arial" w:eastAsia="Times New Roman" w:hAnsi="Arial" w:cs="Arial"/>
          <w:color w:val="373A3C"/>
          <w:sz w:val="23"/>
          <w:szCs w:val="23"/>
        </w:rPr>
        <w:t>Schijvens</w:t>
      </w:r>
      <w:proofErr w:type="spellEnd"/>
      <w:r w:rsidRPr="00C15887">
        <w:rPr>
          <w:rFonts w:ascii="Arial" w:eastAsia="Times New Roman" w:hAnsi="Arial" w:cs="Arial"/>
          <w:color w:val="373A3C"/>
          <w:sz w:val="23"/>
          <w:szCs w:val="23"/>
        </w:rPr>
        <w:t xml:space="preserve"> et al., 2019). Non-adherence can be measured and identified using patient self-report, prescription records, canister weighing, dose counting, drug levels, and computerized dose counting (</w:t>
      </w:r>
      <w:proofErr w:type="spellStart"/>
      <w:r w:rsidRPr="00C15887">
        <w:rPr>
          <w:rFonts w:ascii="Arial" w:eastAsia="Times New Roman" w:hAnsi="Arial" w:cs="Arial"/>
          <w:color w:val="373A3C"/>
          <w:sz w:val="23"/>
          <w:szCs w:val="23"/>
        </w:rPr>
        <w:t>Dobler</w:t>
      </w:r>
      <w:proofErr w:type="spellEnd"/>
      <w:r w:rsidRPr="00C15887">
        <w:rPr>
          <w:rFonts w:ascii="Arial" w:eastAsia="Times New Roman" w:hAnsi="Arial" w:cs="Arial"/>
          <w:color w:val="373A3C"/>
          <w:sz w:val="23"/>
          <w:szCs w:val="23"/>
        </w:rPr>
        <w:t>, 2021). Furthermore, recognizing the barriers to adherence can assist physicians in providing targeted support to patients, such as sending reminders to patients who frequently forget to take their prescriptions or switching to a different brand, formulation, or delivery mechanism when patients dislike it (</w:t>
      </w:r>
      <w:proofErr w:type="spellStart"/>
      <w:r w:rsidRPr="00C15887">
        <w:rPr>
          <w:rFonts w:ascii="Arial" w:eastAsia="Times New Roman" w:hAnsi="Arial" w:cs="Arial"/>
          <w:color w:val="373A3C"/>
          <w:sz w:val="23"/>
          <w:szCs w:val="23"/>
        </w:rPr>
        <w:t>Dobler</w:t>
      </w:r>
      <w:proofErr w:type="spellEnd"/>
      <w:r w:rsidRPr="00C15887">
        <w:rPr>
          <w:rFonts w:ascii="Arial" w:eastAsia="Times New Roman" w:hAnsi="Arial" w:cs="Arial"/>
          <w:color w:val="373A3C"/>
          <w:sz w:val="23"/>
          <w:szCs w:val="23"/>
        </w:rPr>
        <w:t>, 2021).</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      In addition, to reduce gastrointestinal disturbance, prednisone can be taken orally with meals or milk (</w:t>
      </w:r>
      <w:proofErr w:type="spellStart"/>
      <w:r w:rsidRPr="00C15887">
        <w:rPr>
          <w:rFonts w:ascii="Arial" w:eastAsia="Times New Roman" w:hAnsi="Arial" w:cs="Arial"/>
          <w:color w:val="373A3C"/>
          <w:sz w:val="23"/>
          <w:szCs w:val="23"/>
        </w:rPr>
        <w:t>Schijvens</w:t>
      </w:r>
      <w:proofErr w:type="spellEnd"/>
      <w:r w:rsidRPr="00C15887">
        <w:rPr>
          <w:rFonts w:ascii="Arial" w:eastAsia="Times New Roman" w:hAnsi="Arial" w:cs="Arial"/>
          <w:color w:val="373A3C"/>
          <w:sz w:val="23"/>
          <w:szCs w:val="23"/>
        </w:rPr>
        <w:t xml:space="preserve"> et al., 2019). Finally, Jason must check for allergic reactions and tell health care providers if they occur, such as itching or hives, swelling in the face or hands, </w:t>
      </w:r>
      <w:proofErr w:type="gramStart"/>
      <w:r w:rsidRPr="00C15887">
        <w:rPr>
          <w:rFonts w:ascii="Arial" w:eastAsia="Times New Roman" w:hAnsi="Arial" w:cs="Arial"/>
          <w:color w:val="373A3C"/>
          <w:sz w:val="23"/>
          <w:szCs w:val="23"/>
        </w:rPr>
        <w:t>swelling</w:t>
      </w:r>
      <w:proofErr w:type="gramEnd"/>
      <w:r w:rsidRPr="00C15887">
        <w:rPr>
          <w:rFonts w:ascii="Arial" w:eastAsia="Times New Roman" w:hAnsi="Arial" w:cs="Arial"/>
          <w:color w:val="373A3C"/>
          <w:sz w:val="23"/>
          <w:szCs w:val="23"/>
        </w:rPr>
        <w:t xml:space="preserve"> or tingling in the mouth or throat, chest tightness, and difficulty breathing (</w:t>
      </w:r>
      <w:proofErr w:type="spellStart"/>
      <w:r w:rsidRPr="00C15887">
        <w:rPr>
          <w:rFonts w:ascii="Arial" w:eastAsia="Times New Roman" w:hAnsi="Arial" w:cs="Arial"/>
          <w:color w:val="373A3C"/>
          <w:sz w:val="23"/>
          <w:szCs w:val="23"/>
        </w:rPr>
        <w:t>Schijvens</w:t>
      </w:r>
      <w:proofErr w:type="spellEnd"/>
      <w:r w:rsidRPr="00C15887">
        <w:rPr>
          <w:rFonts w:ascii="Arial" w:eastAsia="Times New Roman" w:hAnsi="Arial" w:cs="Arial"/>
          <w:color w:val="373A3C"/>
          <w:sz w:val="23"/>
          <w:szCs w:val="23"/>
        </w:rPr>
        <w:t xml:space="preserve"> et al., 2019). Edema and a delay in wound healing are two adverse effects of the chosen drug that could prompt the APRN to recommend a different course of treatment with prednisone. (</w:t>
      </w:r>
      <w:proofErr w:type="spellStart"/>
      <w:r w:rsidRPr="00C15887">
        <w:rPr>
          <w:rFonts w:ascii="Arial" w:eastAsia="Times New Roman" w:hAnsi="Arial" w:cs="Arial"/>
          <w:color w:val="373A3C"/>
          <w:sz w:val="23"/>
          <w:szCs w:val="23"/>
        </w:rPr>
        <w:t>Schijvens</w:t>
      </w:r>
      <w:proofErr w:type="spellEnd"/>
      <w:r w:rsidRPr="00C15887">
        <w:rPr>
          <w:rFonts w:ascii="Arial" w:eastAsia="Times New Roman" w:hAnsi="Arial" w:cs="Arial"/>
          <w:color w:val="373A3C"/>
          <w:sz w:val="23"/>
          <w:szCs w:val="23"/>
        </w:rPr>
        <w:t xml:space="preserve"> et al., 2019). Therefore, the APRN recommends antihistamines used to treat allergic disorders as second-line therapy for Jason. Furthermore, they benefit in treating itching caused by histamine release (Randall &amp; Hawkins, 2018). According to </w:t>
      </w:r>
      <w:proofErr w:type="spellStart"/>
      <w:r w:rsidRPr="00C15887">
        <w:rPr>
          <w:rFonts w:ascii="Arial" w:eastAsia="Times New Roman" w:hAnsi="Arial" w:cs="Arial"/>
          <w:color w:val="373A3C"/>
          <w:sz w:val="23"/>
          <w:szCs w:val="23"/>
        </w:rPr>
        <w:t>Gelotte</w:t>
      </w:r>
      <w:proofErr w:type="spellEnd"/>
      <w:r w:rsidRPr="00C15887">
        <w:rPr>
          <w:rFonts w:ascii="Arial" w:eastAsia="Times New Roman" w:hAnsi="Arial" w:cs="Arial"/>
          <w:color w:val="373A3C"/>
          <w:sz w:val="23"/>
          <w:szCs w:val="23"/>
        </w:rPr>
        <w:t xml:space="preserve"> et al. (2018), Diphenhydramine, an antihistamine of the first generation, is available without a prescription and is used to treat and prevent symptoms of many disorders, including </w:t>
      </w:r>
      <w:proofErr w:type="spellStart"/>
      <w:r w:rsidRPr="00C15887">
        <w:rPr>
          <w:rFonts w:ascii="Arial" w:eastAsia="Times New Roman" w:hAnsi="Arial" w:cs="Arial"/>
          <w:color w:val="373A3C"/>
          <w:sz w:val="23"/>
          <w:szCs w:val="23"/>
        </w:rPr>
        <w:t>dystonias</w:t>
      </w:r>
      <w:proofErr w:type="spellEnd"/>
      <w:r w:rsidRPr="00C15887">
        <w:rPr>
          <w:rFonts w:ascii="Arial" w:eastAsia="Times New Roman" w:hAnsi="Arial" w:cs="Arial"/>
          <w:color w:val="373A3C"/>
          <w:sz w:val="23"/>
          <w:szCs w:val="23"/>
        </w:rPr>
        <w:t>, sleeplessness, pruritis, urticaria, vertigo, and motion sickness. However, for patients with sensitivities to more popular local anesthetics, it can be used as a local anesthetic; this is an off-label application of the drug (</w:t>
      </w:r>
      <w:proofErr w:type="spellStart"/>
      <w:r w:rsidRPr="00C15887">
        <w:rPr>
          <w:rFonts w:ascii="Arial" w:eastAsia="Times New Roman" w:hAnsi="Arial" w:cs="Arial"/>
          <w:color w:val="373A3C"/>
          <w:sz w:val="23"/>
          <w:szCs w:val="23"/>
        </w:rPr>
        <w:t>Gelotte</w:t>
      </w:r>
      <w:proofErr w:type="spellEnd"/>
      <w:r w:rsidRPr="00C15887">
        <w:rPr>
          <w:rFonts w:ascii="Arial" w:eastAsia="Times New Roman" w:hAnsi="Arial" w:cs="Arial"/>
          <w:color w:val="373A3C"/>
          <w:sz w:val="23"/>
          <w:szCs w:val="23"/>
        </w:rPr>
        <w:t xml:space="preserve"> et al., 2018).</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 xml:space="preserve">      Furthermore, it is the responsibility of the APRN to make sure that Jason is aware of the need to detect and avoid </w:t>
      </w:r>
      <w:proofErr w:type="gramStart"/>
      <w:r w:rsidRPr="00C15887">
        <w:rPr>
          <w:rFonts w:ascii="Arial" w:eastAsia="Times New Roman" w:hAnsi="Arial" w:cs="Arial"/>
          <w:color w:val="373A3C"/>
          <w:sz w:val="23"/>
          <w:szCs w:val="23"/>
        </w:rPr>
        <w:t>coming into contact with</w:t>
      </w:r>
      <w:proofErr w:type="gramEnd"/>
      <w:r w:rsidRPr="00C15887">
        <w:rPr>
          <w:rFonts w:ascii="Arial" w:eastAsia="Times New Roman" w:hAnsi="Arial" w:cs="Arial"/>
          <w:color w:val="373A3C"/>
          <w:sz w:val="23"/>
          <w:szCs w:val="23"/>
        </w:rPr>
        <w:t xml:space="preserve"> these highly irritating plants. The treatment strategy for allergies and other skin irritations recommended by the APRN includes avoiding the allergen or irritant that produces a skin reaction, obtaining regular medical attention, and adhering to the treatment plan (Martin et al., 2018). In addition, long-sleeved shirts and pants are essential to prevent poison ivy plants from touching the skin while hiking in the presence of nature and outdoors. Nonsteroidal anti-inflammatory drugs (NSAIDs) are the most common cause of hypersensitivity drug reactions. Jason's APRN will inform him of this drug-to-drug interaction when he takes his contact dermatitis prescription (Blanca-Lopez et al., 2019). Blanca-Lopez et al. (2019) state that cutaneous and pulmonary involvement is standard, with moderate to severe systemic anaphylactic symptoms. In addition, nonsteroidal anti-inflammatory drugs (NSAIDs) constitute the most common cause of drug hypersensitivity. Consequently, cyclooxygenase 1 (COX-1) and COX-2 inhibitors with diverse chemical structures are utilized at all ages, and some can be purchased over the counter (Blanca-Lopez et al., 2019).</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r>
      <w:r w:rsidRPr="00C15887">
        <w:rPr>
          <w:rFonts w:ascii="Arial" w:eastAsia="Times New Roman" w:hAnsi="Arial" w:cs="Arial"/>
          <w:b/>
          <w:bCs/>
          <w:color w:val="373A3C"/>
          <w:sz w:val="23"/>
          <w:szCs w:val="23"/>
        </w:rPr>
        <w:t>Reference</w:t>
      </w:r>
      <w:r w:rsidRPr="00C15887">
        <w:rPr>
          <w:rFonts w:ascii="Arial" w:eastAsia="Times New Roman" w:hAnsi="Arial" w:cs="Arial"/>
          <w:color w:val="373A3C"/>
          <w:sz w:val="23"/>
          <w:szCs w:val="23"/>
        </w:rPr>
        <w:br/>
        <w:t>Blanca-Lopez, N., Soriano, V., Garcia-Martin, E., Canto, G., &amp; Blanca, M. (2019). NSAID-induced reactions: classification, prevalence, impact, and management strategies. Journal of asthma and allergy, 12, 217–233. https://doi.org/10.2147/JAA.S164806</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Butt, M., Flamm, A., Marks, J. G., &amp; Flamm, A. (2022). Poison Ivy Dermatitis Treatment Patterns and Utilization: A Retrospective Claims-based Analysis. Western Journal of Emergency Medicine: Integrating Emergency Care with Population Health, 23(4), 481–488. https://doi.org/10.5811/westjem.2022.March.55516</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lastRenderedPageBreak/>
        <w:br/>
        <w:t xml:space="preserve">Chu, D. K., </w:t>
      </w:r>
      <w:proofErr w:type="spellStart"/>
      <w:r w:rsidRPr="00C15887">
        <w:rPr>
          <w:rFonts w:ascii="Arial" w:eastAsia="Times New Roman" w:hAnsi="Arial" w:cs="Arial"/>
          <w:color w:val="373A3C"/>
          <w:sz w:val="23"/>
          <w:szCs w:val="23"/>
        </w:rPr>
        <w:t>Oykhman</w:t>
      </w:r>
      <w:proofErr w:type="spellEnd"/>
      <w:r w:rsidRPr="00C15887">
        <w:rPr>
          <w:rFonts w:ascii="Arial" w:eastAsia="Times New Roman" w:hAnsi="Arial" w:cs="Arial"/>
          <w:color w:val="373A3C"/>
          <w:sz w:val="23"/>
          <w:szCs w:val="23"/>
        </w:rPr>
        <w:t xml:space="preserve">, P., &amp; Sussman, G. L. (2021). How to use antihistamines. </w:t>
      </w:r>
      <w:proofErr w:type="gramStart"/>
      <w:r w:rsidRPr="00C15887">
        <w:rPr>
          <w:rFonts w:ascii="Arial" w:eastAsia="Times New Roman" w:hAnsi="Arial" w:cs="Arial"/>
          <w:color w:val="373A3C"/>
          <w:sz w:val="23"/>
          <w:szCs w:val="23"/>
        </w:rPr>
        <w:t>CMAJ :</w:t>
      </w:r>
      <w:proofErr w:type="gramEnd"/>
      <w:r w:rsidRPr="00C15887">
        <w:rPr>
          <w:rFonts w:ascii="Arial" w:eastAsia="Times New Roman" w:hAnsi="Arial" w:cs="Arial"/>
          <w:color w:val="373A3C"/>
          <w:sz w:val="23"/>
          <w:szCs w:val="23"/>
        </w:rPr>
        <w:t xml:space="preserve"> Canadian Medical Association journal = journal de </w:t>
      </w:r>
      <w:proofErr w:type="spellStart"/>
      <w:r w:rsidRPr="00C15887">
        <w:rPr>
          <w:rFonts w:ascii="Arial" w:eastAsia="Times New Roman" w:hAnsi="Arial" w:cs="Arial"/>
          <w:color w:val="373A3C"/>
          <w:sz w:val="23"/>
          <w:szCs w:val="23"/>
        </w:rPr>
        <w:t>l'Association</w:t>
      </w:r>
      <w:proofErr w:type="spellEnd"/>
      <w:r w:rsidRPr="00C15887">
        <w:rPr>
          <w:rFonts w:ascii="Arial" w:eastAsia="Times New Roman" w:hAnsi="Arial" w:cs="Arial"/>
          <w:color w:val="373A3C"/>
          <w:sz w:val="23"/>
          <w:szCs w:val="23"/>
        </w:rPr>
        <w:t xml:space="preserve"> </w:t>
      </w:r>
      <w:proofErr w:type="spellStart"/>
      <w:r w:rsidRPr="00C15887">
        <w:rPr>
          <w:rFonts w:ascii="Arial" w:eastAsia="Times New Roman" w:hAnsi="Arial" w:cs="Arial"/>
          <w:color w:val="373A3C"/>
          <w:sz w:val="23"/>
          <w:szCs w:val="23"/>
        </w:rPr>
        <w:t>medicale</w:t>
      </w:r>
      <w:proofErr w:type="spellEnd"/>
      <w:r w:rsidRPr="00C15887">
        <w:rPr>
          <w:rFonts w:ascii="Arial" w:eastAsia="Times New Roman" w:hAnsi="Arial" w:cs="Arial"/>
          <w:color w:val="373A3C"/>
          <w:sz w:val="23"/>
          <w:szCs w:val="23"/>
        </w:rPr>
        <w:t xml:space="preserve"> </w:t>
      </w:r>
      <w:proofErr w:type="spellStart"/>
      <w:r w:rsidRPr="00C15887">
        <w:rPr>
          <w:rFonts w:ascii="Arial" w:eastAsia="Times New Roman" w:hAnsi="Arial" w:cs="Arial"/>
          <w:color w:val="373A3C"/>
          <w:sz w:val="23"/>
          <w:szCs w:val="23"/>
        </w:rPr>
        <w:t>canadienne</w:t>
      </w:r>
      <w:proofErr w:type="spellEnd"/>
      <w:r w:rsidRPr="00C15887">
        <w:rPr>
          <w:rFonts w:ascii="Arial" w:eastAsia="Times New Roman" w:hAnsi="Arial" w:cs="Arial"/>
          <w:color w:val="373A3C"/>
          <w:sz w:val="23"/>
          <w:szCs w:val="23"/>
        </w:rPr>
        <w:t>, 193(14), E478–E479. https://doi.org/10.1503/cmaj.201959</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r>
      <w:proofErr w:type="spellStart"/>
      <w:r w:rsidRPr="00C15887">
        <w:rPr>
          <w:rFonts w:ascii="Arial" w:eastAsia="Times New Roman" w:hAnsi="Arial" w:cs="Arial"/>
          <w:color w:val="373A3C"/>
          <w:sz w:val="23"/>
          <w:szCs w:val="23"/>
        </w:rPr>
        <w:t>Dasht</w:t>
      </w:r>
      <w:proofErr w:type="spellEnd"/>
      <w:r w:rsidRPr="00C15887">
        <w:rPr>
          <w:rFonts w:ascii="Arial" w:eastAsia="Times New Roman" w:hAnsi="Arial" w:cs="Arial"/>
          <w:color w:val="373A3C"/>
          <w:sz w:val="23"/>
          <w:szCs w:val="23"/>
        </w:rPr>
        <w:t xml:space="preserve"> </w:t>
      </w:r>
      <w:proofErr w:type="spellStart"/>
      <w:r w:rsidRPr="00C15887">
        <w:rPr>
          <w:rFonts w:ascii="Arial" w:eastAsia="Times New Roman" w:hAnsi="Arial" w:cs="Arial"/>
          <w:color w:val="373A3C"/>
          <w:sz w:val="23"/>
          <w:szCs w:val="23"/>
        </w:rPr>
        <w:t>Bozorg</w:t>
      </w:r>
      <w:proofErr w:type="spellEnd"/>
      <w:r w:rsidRPr="00C15887">
        <w:rPr>
          <w:rFonts w:ascii="Arial" w:eastAsia="Times New Roman" w:hAnsi="Arial" w:cs="Arial"/>
          <w:color w:val="373A3C"/>
          <w:sz w:val="23"/>
          <w:szCs w:val="23"/>
        </w:rPr>
        <w:t xml:space="preserve">, B., </w:t>
      </w:r>
      <w:proofErr w:type="spellStart"/>
      <w:r w:rsidRPr="00C15887">
        <w:rPr>
          <w:rFonts w:ascii="Arial" w:eastAsia="Times New Roman" w:hAnsi="Arial" w:cs="Arial"/>
          <w:color w:val="373A3C"/>
          <w:sz w:val="23"/>
          <w:szCs w:val="23"/>
        </w:rPr>
        <w:t>Bhattaccharjee</w:t>
      </w:r>
      <w:proofErr w:type="spellEnd"/>
      <w:r w:rsidRPr="00C15887">
        <w:rPr>
          <w:rFonts w:ascii="Arial" w:eastAsia="Times New Roman" w:hAnsi="Arial" w:cs="Arial"/>
          <w:color w:val="373A3C"/>
          <w:sz w:val="23"/>
          <w:szCs w:val="23"/>
        </w:rPr>
        <w:t xml:space="preserve">, S. A., </w:t>
      </w:r>
      <w:proofErr w:type="spellStart"/>
      <w:r w:rsidRPr="00C15887">
        <w:rPr>
          <w:rFonts w:ascii="Arial" w:eastAsia="Times New Roman" w:hAnsi="Arial" w:cs="Arial"/>
          <w:color w:val="373A3C"/>
          <w:sz w:val="23"/>
          <w:szCs w:val="23"/>
        </w:rPr>
        <w:t>Somayaji</w:t>
      </w:r>
      <w:proofErr w:type="spellEnd"/>
      <w:r w:rsidRPr="00C15887">
        <w:rPr>
          <w:rFonts w:ascii="Arial" w:eastAsia="Times New Roman" w:hAnsi="Arial" w:cs="Arial"/>
          <w:color w:val="373A3C"/>
          <w:sz w:val="23"/>
          <w:szCs w:val="23"/>
        </w:rPr>
        <w:t>, M. R., &amp; Banga, A. K. (2022). Topical and transdermal delivery with diseased human skin: passive and iontophoretic delivery of hydrocortisone into psoriatic and eczematous skin. Drug delivery and translational research, 12(1), 197–212. https://doi.org/10.1007/s13346-021-00897-7</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r>
      <w:proofErr w:type="spellStart"/>
      <w:r w:rsidRPr="00C15887">
        <w:rPr>
          <w:rFonts w:ascii="Arial" w:eastAsia="Times New Roman" w:hAnsi="Arial" w:cs="Arial"/>
          <w:color w:val="373A3C"/>
          <w:sz w:val="23"/>
          <w:szCs w:val="23"/>
        </w:rPr>
        <w:t>Dobler</w:t>
      </w:r>
      <w:proofErr w:type="spellEnd"/>
      <w:r w:rsidRPr="00C15887">
        <w:rPr>
          <w:rFonts w:ascii="Arial" w:eastAsia="Times New Roman" w:hAnsi="Arial" w:cs="Arial"/>
          <w:color w:val="373A3C"/>
          <w:sz w:val="23"/>
          <w:szCs w:val="23"/>
        </w:rPr>
        <w:t xml:space="preserve"> C. C. (2021). Adherence to treatment. Breathe (Sheffield, England), 17(2), 210090. https://doi.org/10.1183/20734735.0090-2021</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El-Radhi A. S. (2019). Fever in Common Infectious Diseases. Clinical Manual of Fever in Children, 85–140. https://doi.org/10.1007/978-3-319-92336-9_5</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r>
      <w:proofErr w:type="spellStart"/>
      <w:r w:rsidRPr="00C15887">
        <w:rPr>
          <w:rFonts w:ascii="Arial" w:eastAsia="Times New Roman" w:hAnsi="Arial" w:cs="Arial"/>
          <w:color w:val="373A3C"/>
          <w:sz w:val="23"/>
          <w:szCs w:val="23"/>
        </w:rPr>
        <w:t>Gelotte</w:t>
      </w:r>
      <w:proofErr w:type="spellEnd"/>
      <w:r w:rsidRPr="00C15887">
        <w:rPr>
          <w:rFonts w:ascii="Arial" w:eastAsia="Times New Roman" w:hAnsi="Arial" w:cs="Arial"/>
          <w:color w:val="373A3C"/>
          <w:sz w:val="23"/>
          <w:szCs w:val="23"/>
        </w:rPr>
        <w:t>, C. K., Zimmerman, B. A., &amp; Thompson, G. A. (2018). Single-Dose Pharmacokinetic Study of Diphenhydramine HCl in Children and Adolescents. Clinical pharmacology in drug development, 7(4), 400–407. https://doi.org/10.1002/cpdd.391</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 xml:space="preserve">Hafner, M., Lopes, A. I., Suzuki, N. M., &amp; </w:t>
      </w:r>
      <w:proofErr w:type="spellStart"/>
      <w:r w:rsidRPr="00C15887">
        <w:rPr>
          <w:rFonts w:ascii="Arial" w:eastAsia="Times New Roman" w:hAnsi="Arial" w:cs="Arial"/>
          <w:color w:val="373A3C"/>
          <w:sz w:val="23"/>
          <w:szCs w:val="23"/>
        </w:rPr>
        <w:t>Lazzarini</w:t>
      </w:r>
      <w:proofErr w:type="spellEnd"/>
      <w:r w:rsidRPr="00C15887">
        <w:rPr>
          <w:rFonts w:ascii="Arial" w:eastAsia="Times New Roman" w:hAnsi="Arial" w:cs="Arial"/>
          <w:color w:val="373A3C"/>
          <w:sz w:val="23"/>
          <w:szCs w:val="23"/>
        </w:rPr>
        <w:t xml:space="preserve">, R. (2022). Allergic contact dermatitis to corticosteroids: experience of a referral clinic from 2014 to 2018. Anais </w:t>
      </w:r>
      <w:proofErr w:type="spellStart"/>
      <w:r w:rsidRPr="00C15887">
        <w:rPr>
          <w:rFonts w:ascii="Arial" w:eastAsia="Times New Roman" w:hAnsi="Arial" w:cs="Arial"/>
          <w:color w:val="373A3C"/>
          <w:sz w:val="23"/>
          <w:szCs w:val="23"/>
        </w:rPr>
        <w:t>brasileiros</w:t>
      </w:r>
      <w:proofErr w:type="spellEnd"/>
      <w:r w:rsidRPr="00C15887">
        <w:rPr>
          <w:rFonts w:ascii="Arial" w:eastAsia="Times New Roman" w:hAnsi="Arial" w:cs="Arial"/>
          <w:color w:val="373A3C"/>
          <w:sz w:val="23"/>
          <w:szCs w:val="23"/>
        </w:rPr>
        <w:t xml:space="preserve"> de </w:t>
      </w:r>
      <w:proofErr w:type="spellStart"/>
      <w:r w:rsidRPr="00C15887">
        <w:rPr>
          <w:rFonts w:ascii="Arial" w:eastAsia="Times New Roman" w:hAnsi="Arial" w:cs="Arial"/>
          <w:color w:val="373A3C"/>
          <w:sz w:val="23"/>
          <w:szCs w:val="23"/>
        </w:rPr>
        <w:t>dermatologia</w:t>
      </w:r>
      <w:proofErr w:type="spellEnd"/>
      <w:r w:rsidRPr="00C15887">
        <w:rPr>
          <w:rFonts w:ascii="Arial" w:eastAsia="Times New Roman" w:hAnsi="Arial" w:cs="Arial"/>
          <w:color w:val="373A3C"/>
          <w:sz w:val="23"/>
          <w:szCs w:val="23"/>
        </w:rPr>
        <w:t>, 97(3), 379–382. https://doi.org/10.1016/j.abd.2020.12.012</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r>
      <w:proofErr w:type="spellStart"/>
      <w:r w:rsidRPr="00C15887">
        <w:rPr>
          <w:rFonts w:ascii="Arial" w:eastAsia="Times New Roman" w:hAnsi="Arial" w:cs="Arial"/>
          <w:color w:val="373A3C"/>
          <w:sz w:val="23"/>
          <w:szCs w:val="23"/>
        </w:rPr>
        <w:t>Kanabaj</w:t>
      </w:r>
      <w:proofErr w:type="spellEnd"/>
      <w:r w:rsidRPr="00C15887">
        <w:rPr>
          <w:rFonts w:ascii="Arial" w:eastAsia="Times New Roman" w:hAnsi="Arial" w:cs="Arial"/>
          <w:color w:val="373A3C"/>
          <w:sz w:val="23"/>
          <w:szCs w:val="23"/>
        </w:rPr>
        <w:t xml:space="preserve">, K., </w:t>
      </w:r>
      <w:proofErr w:type="spellStart"/>
      <w:r w:rsidRPr="00C15887">
        <w:rPr>
          <w:rFonts w:ascii="Arial" w:eastAsia="Times New Roman" w:hAnsi="Arial" w:cs="Arial"/>
          <w:color w:val="373A3C"/>
          <w:sz w:val="23"/>
          <w:szCs w:val="23"/>
        </w:rPr>
        <w:t>Shawkat</w:t>
      </w:r>
      <w:proofErr w:type="spellEnd"/>
      <w:r w:rsidRPr="00C15887">
        <w:rPr>
          <w:rFonts w:ascii="Arial" w:eastAsia="Times New Roman" w:hAnsi="Arial" w:cs="Arial"/>
          <w:color w:val="373A3C"/>
          <w:sz w:val="23"/>
          <w:szCs w:val="23"/>
        </w:rPr>
        <w:t xml:space="preserve">, S., </w:t>
      </w:r>
      <w:proofErr w:type="spellStart"/>
      <w:r w:rsidRPr="00C15887">
        <w:rPr>
          <w:rFonts w:ascii="Arial" w:eastAsia="Times New Roman" w:hAnsi="Arial" w:cs="Arial"/>
          <w:color w:val="373A3C"/>
          <w:sz w:val="23"/>
          <w:szCs w:val="23"/>
        </w:rPr>
        <w:t>Kuźniak</w:t>
      </w:r>
      <w:proofErr w:type="spellEnd"/>
      <w:r w:rsidRPr="00C15887">
        <w:rPr>
          <w:rFonts w:ascii="Arial" w:eastAsia="Times New Roman" w:hAnsi="Arial" w:cs="Arial"/>
          <w:color w:val="373A3C"/>
          <w:sz w:val="23"/>
          <w:szCs w:val="23"/>
        </w:rPr>
        <w:t xml:space="preserve">, A., Adamski, Z., &amp; </w:t>
      </w:r>
      <w:proofErr w:type="spellStart"/>
      <w:r w:rsidRPr="00C15887">
        <w:rPr>
          <w:rFonts w:ascii="Arial" w:eastAsia="Times New Roman" w:hAnsi="Arial" w:cs="Arial"/>
          <w:color w:val="373A3C"/>
          <w:sz w:val="23"/>
          <w:szCs w:val="23"/>
        </w:rPr>
        <w:t>Jenerowicz</w:t>
      </w:r>
      <w:proofErr w:type="spellEnd"/>
      <w:r w:rsidRPr="00C15887">
        <w:rPr>
          <w:rFonts w:ascii="Arial" w:eastAsia="Times New Roman" w:hAnsi="Arial" w:cs="Arial"/>
          <w:color w:val="373A3C"/>
          <w:sz w:val="23"/>
          <w:szCs w:val="23"/>
        </w:rPr>
        <w:t xml:space="preserve">, D. (2021). Selected clinical and therapeutic aspects of atopic and contact dermatitis. Dermatology Review / </w:t>
      </w:r>
      <w:proofErr w:type="spellStart"/>
      <w:r w:rsidRPr="00C15887">
        <w:rPr>
          <w:rFonts w:ascii="Arial" w:eastAsia="Times New Roman" w:hAnsi="Arial" w:cs="Arial"/>
          <w:color w:val="373A3C"/>
          <w:sz w:val="23"/>
          <w:szCs w:val="23"/>
        </w:rPr>
        <w:t>Przeglad</w:t>
      </w:r>
      <w:proofErr w:type="spellEnd"/>
      <w:r w:rsidRPr="00C15887">
        <w:rPr>
          <w:rFonts w:ascii="Arial" w:eastAsia="Times New Roman" w:hAnsi="Arial" w:cs="Arial"/>
          <w:color w:val="373A3C"/>
          <w:sz w:val="23"/>
          <w:szCs w:val="23"/>
        </w:rPr>
        <w:t xml:space="preserve"> </w:t>
      </w:r>
      <w:proofErr w:type="spellStart"/>
      <w:r w:rsidRPr="00C15887">
        <w:rPr>
          <w:rFonts w:ascii="Arial" w:eastAsia="Times New Roman" w:hAnsi="Arial" w:cs="Arial"/>
          <w:color w:val="373A3C"/>
          <w:sz w:val="23"/>
          <w:szCs w:val="23"/>
        </w:rPr>
        <w:t>Dermatologiczny</w:t>
      </w:r>
      <w:proofErr w:type="spellEnd"/>
      <w:r w:rsidRPr="00C15887">
        <w:rPr>
          <w:rFonts w:ascii="Arial" w:eastAsia="Times New Roman" w:hAnsi="Arial" w:cs="Arial"/>
          <w:color w:val="373A3C"/>
          <w:sz w:val="23"/>
          <w:szCs w:val="23"/>
        </w:rPr>
        <w:t>, 108(5), 394–406. https://doi.org/10.5114/dr.2021.113157</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Li, Y., &amp; Li, L. (2021). Contact Dermatitis: Classifications and Management. Clinical reviews in allergy &amp; immunology, 61(3), 245–281. https://doi.org/10.1007/s12016-021-08875-0</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 xml:space="preserve">Martin, S. F., </w:t>
      </w:r>
      <w:proofErr w:type="spellStart"/>
      <w:r w:rsidRPr="00C15887">
        <w:rPr>
          <w:rFonts w:ascii="Arial" w:eastAsia="Times New Roman" w:hAnsi="Arial" w:cs="Arial"/>
          <w:color w:val="373A3C"/>
          <w:sz w:val="23"/>
          <w:szCs w:val="23"/>
        </w:rPr>
        <w:t>Rustemeyer</w:t>
      </w:r>
      <w:proofErr w:type="spellEnd"/>
      <w:r w:rsidRPr="00C15887">
        <w:rPr>
          <w:rFonts w:ascii="Arial" w:eastAsia="Times New Roman" w:hAnsi="Arial" w:cs="Arial"/>
          <w:color w:val="373A3C"/>
          <w:sz w:val="23"/>
          <w:szCs w:val="23"/>
        </w:rPr>
        <w:t>, T., &amp; Thyssen, J. P. (2018). Recent advances in understanding and managing contact dermatitis. F1000Research, 7, F1000 Faculty Rev-810. https://doi.org/10.12688/f1000research.13499.1</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t>Randall, K. L., &amp; Hawkins, C. A. (2018). Antihistamines and allergy. Australian prescriber, 41(2), 41–45. https://doi.org/10.18773/austprescr.2018.013</w:t>
      </w:r>
      <w:r w:rsidRPr="00C15887">
        <w:rPr>
          <w:rFonts w:ascii="Arial" w:eastAsia="Times New Roman" w:hAnsi="Arial" w:cs="Arial"/>
          <w:color w:val="373A3C"/>
          <w:sz w:val="23"/>
          <w:szCs w:val="23"/>
        </w:rPr>
        <w:br/>
      </w:r>
      <w:r w:rsidRPr="00C15887">
        <w:rPr>
          <w:rFonts w:ascii="Arial" w:eastAsia="Times New Roman" w:hAnsi="Arial" w:cs="Arial"/>
          <w:color w:val="373A3C"/>
          <w:sz w:val="23"/>
          <w:szCs w:val="23"/>
        </w:rPr>
        <w:br/>
      </w:r>
      <w:proofErr w:type="spellStart"/>
      <w:r w:rsidRPr="00C15887">
        <w:rPr>
          <w:rFonts w:ascii="Arial" w:eastAsia="Times New Roman" w:hAnsi="Arial" w:cs="Arial"/>
          <w:color w:val="373A3C"/>
          <w:sz w:val="23"/>
          <w:szCs w:val="23"/>
        </w:rPr>
        <w:t>Schijvens</w:t>
      </w:r>
      <w:proofErr w:type="spellEnd"/>
      <w:r w:rsidRPr="00C15887">
        <w:rPr>
          <w:rFonts w:ascii="Arial" w:eastAsia="Times New Roman" w:hAnsi="Arial" w:cs="Arial"/>
          <w:color w:val="373A3C"/>
          <w:sz w:val="23"/>
          <w:szCs w:val="23"/>
        </w:rPr>
        <w:t xml:space="preserve">, A. M., Ter Heine, R., de </w:t>
      </w:r>
      <w:proofErr w:type="spellStart"/>
      <w:r w:rsidRPr="00C15887">
        <w:rPr>
          <w:rFonts w:ascii="Arial" w:eastAsia="Times New Roman" w:hAnsi="Arial" w:cs="Arial"/>
          <w:color w:val="373A3C"/>
          <w:sz w:val="23"/>
          <w:szCs w:val="23"/>
        </w:rPr>
        <w:t>Wildt</w:t>
      </w:r>
      <w:proofErr w:type="spellEnd"/>
      <w:r w:rsidRPr="00C15887">
        <w:rPr>
          <w:rFonts w:ascii="Arial" w:eastAsia="Times New Roman" w:hAnsi="Arial" w:cs="Arial"/>
          <w:color w:val="373A3C"/>
          <w:sz w:val="23"/>
          <w:szCs w:val="23"/>
        </w:rPr>
        <w:t>, S. N., &amp; Schreuder, M. F. (2019). Pharmacology and pharmacogenetics of prednisone and prednisolone in patients with nephrotic syndrome. Pediatric nephrology (Berlin, Germany), 34(3), 389–403. https://doi.org/10.1007/s00467-018-3929-z</w:t>
      </w:r>
    </w:p>
    <w:p w14:paraId="6BBDA19D" w14:textId="77777777" w:rsidR="00C15887" w:rsidRDefault="00C15887"/>
    <w:sectPr w:rsidR="00C15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87"/>
    <w:rsid w:val="00C15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B24D"/>
  <w15:chartTrackingRefBased/>
  <w15:docId w15:val="{8E7EE9EA-28D7-4B37-A34E-2C3238AC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27795">
      <w:bodyDiv w:val="1"/>
      <w:marLeft w:val="0"/>
      <w:marRight w:val="0"/>
      <w:marTop w:val="0"/>
      <w:marBottom w:val="0"/>
      <w:divBdr>
        <w:top w:val="none" w:sz="0" w:space="0" w:color="auto"/>
        <w:left w:val="none" w:sz="0" w:space="0" w:color="auto"/>
        <w:bottom w:val="none" w:sz="0" w:space="0" w:color="auto"/>
        <w:right w:val="none" w:sz="0" w:space="0" w:color="auto"/>
      </w:divBdr>
      <w:divsChild>
        <w:div w:id="485632687">
          <w:marLeft w:val="0"/>
          <w:marRight w:val="0"/>
          <w:marTop w:val="0"/>
          <w:marBottom w:val="0"/>
          <w:divBdr>
            <w:top w:val="none" w:sz="0" w:space="0" w:color="auto"/>
            <w:left w:val="none" w:sz="0" w:space="0" w:color="auto"/>
            <w:bottom w:val="none" w:sz="0" w:space="0" w:color="auto"/>
            <w:right w:val="none" w:sz="0" w:space="0" w:color="auto"/>
          </w:divBdr>
          <w:divsChild>
            <w:div w:id="1023089039">
              <w:marLeft w:val="0"/>
              <w:marRight w:val="0"/>
              <w:marTop w:val="0"/>
              <w:marBottom w:val="0"/>
              <w:divBdr>
                <w:top w:val="none" w:sz="0" w:space="0" w:color="auto"/>
                <w:left w:val="none" w:sz="0" w:space="0" w:color="auto"/>
                <w:bottom w:val="none" w:sz="0" w:space="0" w:color="auto"/>
                <w:right w:val="none" w:sz="0" w:space="0" w:color="auto"/>
              </w:divBdr>
            </w:div>
          </w:divsChild>
        </w:div>
        <w:div w:id="269820176">
          <w:marLeft w:val="0"/>
          <w:marRight w:val="0"/>
          <w:marTop w:val="0"/>
          <w:marBottom w:val="0"/>
          <w:divBdr>
            <w:top w:val="none" w:sz="0" w:space="0" w:color="auto"/>
            <w:left w:val="none" w:sz="0" w:space="0" w:color="auto"/>
            <w:bottom w:val="none" w:sz="0" w:space="0" w:color="auto"/>
            <w:right w:val="none" w:sz="0" w:space="0" w:color="auto"/>
          </w:divBdr>
          <w:divsChild>
            <w:div w:id="86578415">
              <w:marLeft w:val="0"/>
              <w:marRight w:val="0"/>
              <w:marTop w:val="0"/>
              <w:marBottom w:val="0"/>
              <w:divBdr>
                <w:top w:val="none" w:sz="0" w:space="0" w:color="auto"/>
                <w:left w:val="none" w:sz="0" w:space="0" w:color="auto"/>
                <w:bottom w:val="none" w:sz="0" w:space="0" w:color="auto"/>
                <w:right w:val="none" w:sz="0" w:space="0" w:color="auto"/>
              </w:divBdr>
              <w:divsChild>
                <w:div w:id="1894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7077">
      <w:bodyDiv w:val="1"/>
      <w:marLeft w:val="0"/>
      <w:marRight w:val="0"/>
      <w:marTop w:val="0"/>
      <w:marBottom w:val="0"/>
      <w:divBdr>
        <w:top w:val="none" w:sz="0" w:space="0" w:color="auto"/>
        <w:left w:val="none" w:sz="0" w:space="0" w:color="auto"/>
        <w:bottom w:val="none" w:sz="0" w:space="0" w:color="auto"/>
        <w:right w:val="none" w:sz="0" w:space="0" w:color="auto"/>
      </w:divBdr>
      <w:divsChild>
        <w:div w:id="1508984317">
          <w:marLeft w:val="0"/>
          <w:marRight w:val="0"/>
          <w:marTop w:val="0"/>
          <w:marBottom w:val="0"/>
          <w:divBdr>
            <w:top w:val="none" w:sz="0" w:space="0" w:color="auto"/>
            <w:left w:val="none" w:sz="0" w:space="0" w:color="auto"/>
            <w:bottom w:val="none" w:sz="0" w:space="0" w:color="auto"/>
            <w:right w:val="none" w:sz="0" w:space="0" w:color="auto"/>
          </w:divBdr>
          <w:divsChild>
            <w:div w:id="1286346172">
              <w:marLeft w:val="0"/>
              <w:marRight w:val="0"/>
              <w:marTop w:val="0"/>
              <w:marBottom w:val="0"/>
              <w:divBdr>
                <w:top w:val="none" w:sz="0" w:space="0" w:color="auto"/>
                <w:left w:val="none" w:sz="0" w:space="0" w:color="auto"/>
                <w:bottom w:val="none" w:sz="0" w:space="0" w:color="auto"/>
                <w:right w:val="none" w:sz="0" w:space="0" w:color="auto"/>
              </w:divBdr>
            </w:div>
          </w:divsChild>
        </w:div>
        <w:div w:id="479078199">
          <w:marLeft w:val="0"/>
          <w:marRight w:val="0"/>
          <w:marTop w:val="0"/>
          <w:marBottom w:val="0"/>
          <w:divBdr>
            <w:top w:val="none" w:sz="0" w:space="0" w:color="auto"/>
            <w:left w:val="none" w:sz="0" w:space="0" w:color="auto"/>
            <w:bottom w:val="none" w:sz="0" w:space="0" w:color="auto"/>
            <w:right w:val="none" w:sz="0" w:space="0" w:color="auto"/>
          </w:divBdr>
          <w:divsChild>
            <w:div w:id="801925011">
              <w:marLeft w:val="0"/>
              <w:marRight w:val="0"/>
              <w:marTop w:val="0"/>
              <w:marBottom w:val="0"/>
              <w:divBdr>
                <w:top w:val="none" w:sz="0" w:space="0" w:color="auto"/>
                <w:left w:val="none" w:sz="0" w:space="0" w:color="auto"/>
                <w:bottom w:val="none" w:sz="0" w:space="0" w:color="auto"/>
                <w:right w:val="none" w:sz="0" w:space="0" w:color="auto"/>
              </w:divBdr>
              <w:divsChild>
                <w:div w:id="318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online.regiscollege.edu/user/view.php?id=6209&amp;course=4081" TargetMode="External"/><Relationship Id="rId4" Type="http://schemas.openxmlformats.org/officeDocument/2006/relationships/hyperlink" Target="https://myonline.regiscollege.edu/user/view.php?id=4656&amp;course=4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2022-11-10T21:40:00Z</dcterms:created>
  <dcterms:modified xsi:type="dcterms:W3CDTF">2022-11-10T21:42:00Z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92454aad-8056-4811-be33-0c08a777e8d7</vt:lpwstr>
  </property>
</Properties>
</file>