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22B8" w14:textId="2685E67C" w:rsidR="007A223B" w:rsidRPr="004B1D6F" w:rsidRDefault="0006372E" w:rsidP="00A245DB">
      <w:pPr>
        <w:spacing w:line="360" w:lineRule="auto"/>
        <w:ind w:firstLine="720"/>
        <w:rPr>
          <w:rFonts w:asciiTheme="majorHAnsi" w:hAnsiTheme="majorHAnsi" w:cstheme="majorHAnsi"/>
          <w:b/>
          <w:bCs/>
          <w:sz w:val="24"/>
          <w:szCs w:val="24"/>
          <w:lang w:val="en-AU"/>
        </w:rPr>
      </w:pPr>
      <w:r w:rsidRPr="004B1D6F">
        <w:rPr>
          <w:rFonts w:asciiTheme="majorHAnsi" w:hAnsiTheme="majorHAnsi" w:cstheme="majorHAnsi"/>
          <w:b/>
          <w:bCs/>
          <w:sz w:val="24"/>
          <w:szCs w:val="24"/>
          <w:lang w:val="en-AU"/>
        </w:rPr>
        <w:t>PART 1</w:t>
      </w:r>
    </w:p>
    <w:p w14:paraId="79E7F4CA" w14:textId="3A23B003" w:rsidR="0006372E" w:rsidRPr="004B1D6F" w:rsidRDefault="0006372E" w:rsidP="00A245DB">
      <w:pPr>
        <w:pStyle w:val="ListParagraph"/>
        <w:numPr>
          <w:ilvl w:val="0"/>
          <w:numId w:val="1"/>
        </w:numPr>
        <w:spacing w:line="360" w:lineRule="auto"/>
        <w:ind w:firstLine="720"/>
        <w:rPr>
          <w:rFonts w:asciiTheme="majorHAnsi" w:hAnsiTheme="majorHAnsi" w:cstheme="majorHAnsi"/>
          <w:b/>
          <w:bCs/>
          <w:sz w:val="24"/>
          <w:szCs w:val="24"/>
          <w:lang w:val="en-AU"/>
        </w:rPr>
      </w:pPr>
      <w:r w:rsidRPr="004B1D6F">
        <w:rPr>
          <w:rFonts w:asciiTheme="majorHAnsi" w:hAnsiTheme="majorHAnsi" w:cstheme="majorHAnsi"/>
          <w:b/>
          <w:bCs/>
          <w:sz w:val="24"/>
          <w:szCs w:val="24"/>
          <w:lang w:val="en-AU"/>
        </w:rPr>
        <w:t>Stage 2</w:t>
      </w:r>
    </w:p>
    <w:p w14:paraId="3C013A38" w14:textId="1BAC47B3" w:rsidR="001A222C" w:rsidRPr="004B1D6F" w:rsidRDefault="008B4D37" w:rsidP="00A245DB">
      <w:pPr>
        <w:spacing w:line="360" w:lineRule="auto"/>
        <w:ind w:firstLine="720"/>
        <w:rPr>
          <w:rFonts w:asciiTheme="majorHAnsi" w:hAnsiTheme="majorHAnsi" w:cstheme="majorHAnsi"/>
          <w:sz w:val="24"/>
          <w:szCs w:val="24"/>
          <w:lang w:val="en-AU"/>
        </w:rPr>
      </w:pPr>
      <w:r w:rsidRPr="004B1D6F">
        <w:rPr>
          <w:rFonts w:asciiTheme="majorHAnsi" w:hAnsiTheme="majorHAnsi" w:cstheme="majorHAnsi"/>
          <w:sz w:val="24"/>
          <w:szCs w:val="24"/>
          <w:lang w:val="en-AU"/>
        </w:rPr>
        <w:t>T</w:t>
      </w:r>
      <w:r w:rsidR="00BA48D7" w:rsidRPr="004B1D6F">
        <w:rPr>
          <w:rFonts w:asciiTheme="majorHAnsi" w:hAnsiTheme="majorHAnsi" w:cstheme="majorHAnsi"/>
          <w:sz w:val="24"/>
          <w:szCs w:val="24"/>
          <w:lang w:val="en-AU"/>
        </w:rPr>
        <w:t>he three priority assessments to be conducted are pain</w:t>
      </w:r>
      <w:r w:rsidR="0012466A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assessment, psychological assessment</w:t>
      </w:r>
      <w:r w:rsidR="00AE6B6F">
        <w:rPr>
          <w:rFonts w:asciiTheme="majorHAnsi" w:hAnsiTheme="majorHAnsi" w:cstheme="majorHAnsi"/>
          <w:sz w:val="24"/>
          <w:szCs w:val="24"/>
          <w:lang w:val="en-AU"/>
        </w:rPr>
        <w:t>,</w:t>
      </w:r>
      <w:r w:rsidR="0012466A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and</w:t>
      </w:r>
      <w:r w:rsidR="00DB588E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physical inspection</w:t>
      </w:r>
      <w:r w:rsidR="0012466A" w:rsidRPr="004B1D6F">
        <w:rPr>
          <w:rFonts w:asciiTheme="majorHAnsi" w:hAnsiTheme="majorHAnsi" w:cstheme="majorHAnsi"/>
          <w:sz w:val="24"/>
          <w:szCs w:val="24"/>
          <w:lang w:val="en-AU"/>
        </w:rPr>
        <w:t>. Pain as</w:t>
      </w:r>
      <w:r w:rsidR="00B17E47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sessment is an important part </w:t>
      </w:r>
      <w:r w:rsidR="00AE6B6F">
        <w:rPr>
          <w:rFonts w:asciiTheme="majorHAnsi" w:hAnsiTheme="majorHAnsi" w:cstheme="majorHAnsi"/>
          <w:sz w:val="24"/>
          <w:szCs w:val="24"/>
          <w:lang w:val="en-AU"/>
        </w:rPr>
        <w:t>of</w:t>
      </w:r>
      <w:r w:rsidR="00B17E47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helping provide the proper care. </w:t>
      </w:r>
      <w:r w:rsidR="00E92F6D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The patient mentions the kind of pain they feel and Venessa is likely to complain of headaches due to the traumatic brain injury. </w:t>
      </w:r>
      <w:r w:rsidR="00000E98" w:rsidRPr="004B1D6F">
        <w:rPr>
          <w:rFonts w:asciiTheme="majorHAnsi" w:hAnsiTheme="majorHAnsi" w:cstheme="majorHAnsi"/>
          <w:sz w:val="24"/>
          <w:szCs w:val="24"/>
          <w:lang w:val="en-AU"/>
        </w:rPr>
        <w:t>To keep Venessa comfortable, it would be appropriate to conduct a systematic pain assessment and reassessment</w:t>
      </w:r>
      <w:r w:rsidR="0074132C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(</w:t>
      </w:r>
      <w:r w:rsidR="0074132C"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n-AU"/>
        </w:rPr>
        <w:t>Toney-Butler et al., 2018)</w:t>
      </w:r>
      <w:r w:rsidR="00000E98" w:rsidRPr="004B1D6F">
        <w:rPr>
          <w:rFonts w:asciiTheme="majorHAnsi" w:hAnsiTheme="majorHAnsi" w:cstheme="majorHAnsi"/>
          <w:sz w:val="24"/>
          <w:szCs w:val="24"/>
          <w:lang w:val="en-AU"/>
        </w:rPr>
        <w:t>.</w:t>
      </w:r>
      <w:r w:rsidR="00D3558D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Indicators of pain such as crying, groaning</w:t>
      </w:r>
      <w:r w:rsidR="00AE6B6F">
        <w:rPr>
          <w:rFonts w:asciiTheme="majorHAnsi" w:hAnsiTheme="majorHAnsi" w:cstheme="majorHAnsi"/>
          <w:sz w:val="24"/>
          <w:szCs w:val="24"/>
          <w:lang w:val="en-AU"/>
        </w:rPr>
        <w:t>,</w:t>
      </w:r>
      <w:r w:rsidR="00D3558D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and clutching can be looked out for.</w:t>
      </w:r>
      <w:r w:rsidR="00864CAE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</w:t>
      </w:r>
      <w:r w:rsidR="00DB588E" w:rsidRPr="004B1D6F">
        <w:rPr>
          <w:rFonts w:asciiTheme="majorHAnsi" w:hAnsiTheme="majorHAnsi" w:cstheme="majorHAnsi"/>
          <w:sz w:val="24"/>
          <w:szCs w:val="24"/>
          <w:lang w:val="en-AU"/>
        </w:rPr>
        <w:t>Failure to conduct this assessment on Venessa causes serious consequences</w:t>
      </w:r>
      <w:r w:rsidR="008D27FA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on the brain and Venessa may develop numerous traumas (Ribeiro et al., 2018). The consequences</w:t>
      </w:r>
      <w:r w:rsidR="00DB588E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include disability, severe pain</w:t>
      </w:r>
      <w:r w:rsidR="00AE6B6F">
        <w:rPr>
          <w:rFonts w:asciiTheme="majorHAnsi" w:hAnsiTheme="majorHAnsi" w:cstheme="majorHAnsi"/>
          <w:sz w:val="24"/>
          <w:szCs w:val="24"/>
          <w:lang w:val="en-AU"/>
        </w:rPr>
        <w:t>,</w:t>
      </w:r>
      <w:r w:rsidR="00DB588E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and poor quality of life.</w:t>
      </w:r>
    </w:p>
    <w:p w14:paraId="34A907AE" w14:textId="26BC4DC3" w:rsidR="00641AC7" w:rsidRPr="004B1D6F" w:rsidRDefault="001A222C" w:rsidP="00A245DB">
      <w:pPr>
        <w:spacing w:line="360" w:lineRule="auto"/>
        <w:ind w:firstLine="720"/>
        <w:rPr>
          <w:rFonts w:asciiTheme="majorHAnsi" w:hAnsiTheme="majorHAnsi" w:cstheme="majorHAnsi"/>
          <w:sz w:val="24"/>
          <w:szCs w:val="24"/>
          <w:lang w:val="en-AU"/>
        </w:rPr>
      </w:pPr>
      <w:r w:rsidRPr="004B1D6F">
        <w:rPr>
          <w:rFonts w:asciiTheme="majorHAnsi" w:hAnsiTheme="majorHAnsi" w:cstheme="majorHAnsi"/>
          <w:sz w:val="24"/>
          <w:szCs w:val="24"/>
          <w:lang w:val="en-AU"/>
        </w:rPr>
        <w:t>A psychological</w:t>
      </w:r>
      <w:r w:rsidR="00864CAE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assessment would also be conducted. </w:t>
      </w:r>
      <w:r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This assessment is important in assessing the psychological performance of Venessa in addition to </w:t>
      </w:r>
      <w:r w:rsidR="009A7405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examining for hallucinations and level of attentiveness. Asking the patient how she feels will aid the psychological assessment by </w:t>
      </w:r>
      <w:r w:rsidR="00DB588E" w:rsidRPr="004B1D6F">
        <w:rPr>
          <w:rFonts w:asciiTheme="majorHAnsi" w:hAnsiTheme="majorHAnsi" w:cstheme="majorHAnsi"/>
          <w:sz w:val="24"/>
          <w:szCs w:val="24"/>
          <w:lang w:val="en-AU"/>
        </w:rPr>
        <w:t>analysing</w:t>
      </w:r>
      <w:r w:rsidR="009A7405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her reaction to the questions and feelings. The re</w:t>
      </w:r>
      <w:r w:rsidR="00415992" w:rsidRPr="004B1D6F">
        <w:rPr>
          <w:rFonts w:asciiTheme="majorHAnsi" w:hAnsiTheme="majorHAnsi" w:cstheme="majorHAnsi"/>
          <w:sz w:val="24"/>
          <w:szCs w:val="24"/>
          <w:lang w:val="en-AU"/>
        </w:rPr>
        <w:t>actions</w:t>
      </w:r>
      <w:r w:rsidR="00190D58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of</w:t>
      </w:r>
      <w:r w:rsidR="00415992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Venessa </w:t>
      </w:r>
      <w:r w:rsidR="00190D58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would include not being </w:t>
      </w:r>
      <w:r w:rsidR="00415992" w:rsidRPr="004B1D6F">
        <w:rPr>
          <w:rFonts w:asciiTheme="majorHAnsi" w:hAnsiTheme="majorHAnsi" w:cstheme="majorHAnsi"/>
          <w:sz w:val="24"/>
          <w:szCs w:val="24"/>
          <w:lang w:val="en-AU"/>
        </w:rPr>
        <w:t>able to talk</w:t>
      </w:r>
      <w:r w:rsidR="00190D58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and crying</w:t>
      </w:r>
      <w:r w:rsidR="00DF0651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(</w:t>
      </w:r>
      <w:r w:rsidR="00DF0651"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n-AU"/>
        </w:rPr>
        <w:t>Toney-Butler et al., 2018)</w:t>
      </w:r>
      <w:r w:rsidR="00DF0651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. </w:t>
      </w:r>
      <w:r w:rsidR="00641AC7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Failure to conduct a psychological assessment on Venessa would </w:t>
      </w:r>
      <w:r w:rsidR="00406286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mean that Venessa would not go back to her initial state since </w:t>
      </w:r>
      <w:r w:rsidR="00225A37" w:rsidRPr="004B1D6F">
        <w:rPr>
          <w:rFonts w:asciiTheme="majorHAnsi" w:hAnsiTheme="majorHAnsi" w:cstheme="majorHAnsi"/>
          <w:sz w:val="24"/>
          <w:szCs w:val="24"/>
          <w:lang w:val="en-AU"/>
        </w:rPr>
        <w:t>psychology helps traumatic brain injury patient to control their emotional effect on the situation and get full cognitive recovery</w:t>
      </w:r>
      <w:r w:rsidR="0045458A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(</w:t>
      </w:r>
      <w:r w:rsidR="0045458A"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n-AU"/>
        </w:rPr>
        <w:t>Gómez-de-</w:t>
      </w:r>
      <w:proofErr w:type="spellStart"/>
      <w:r w:rsidR="0045458A"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n-AU"/>
        </w:rPr>
        <w:t>Regil</w:t>
      </w:r>
      <w:proofErr w:type="spellEnd"/>
      <w:r w:rsidR="0045458A"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n-AU"/>
        </w:rPr>
        <w:t xml:space="preserve"> et al., 2019)</w:t>
      </w:r>
      <w:r w:rsidR="00225A37" w:rsidRPr="004B1D6F">
        <w:rPr>
          <w:rFonts w:asciiTheme="majorHAnsi" w:hAnsiTheme="majorHAnsi" w:cstheme="majorHAnsi"/>
          <w:sz w:val="24"/>
          <w:szCs w:val="24"/>
          <w:lang w:val="en-AU"/>
        </w:rPr>
        <w:t>.</w:t>
      </w:r>
      <w:r w:rsidR="00D65359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Therefore, psychological care helps traumatic brain injury patients to handle </w:t>
      </w:r>
      <w:r w:rsidR="00FB04B1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cognitive and psychological threats. </w:t>
      </w:r>
    </w:p>
    <w:p w14:paraId="391EAE82" w14:textId="622280AE" w:rsidR="00BA48D7" w:rsidRPr="004B1D6F" w:rsidRDefault="00DF0651" w:rsidP="00A245DB">
      <w:pPr>
        <w:spacing w:line="360" w:lineRule="auto"/>
        <w:ind w:firstLine="720"/>
        <w:rPr>
          <w:rFonts w:asciiTheme="majorHAnsi" w:hAnsiTheme="majorHAnsi" w:cstheme="majorHAnsi"/>
          <w:sz w:val="24"/>
          <w:szCs w:val="24"/>
          <w:lang w:val="en-AU"/>
        </w:rPr>
      </w:pPr>
      <w:r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The third assessment to be conducted is the </w:t>
      </w:r>
      <w:r w:rsidR="00FC2761" w:rsidRPr="004B1D6F">
        <w:rPr>
          <w:rFonts w:asciiTheme="majorHAnsi" w:hAnsiTheme="majorHAnsi" w:cstheme="majorHAnsi"/>
          <w:sz w:val="24"/>
          <w:szCs w:val="24"/>
          <w:lang w:val="en-AU"/>
        </w:rPr>
        <w:t>physical inspection. This assessment looks at the general look of the patient and includes whether the patient looks pale, upset</w:t>
      </w:r>
      <w:r w:rsidR="00AE6B6F">
        <w:rPr>
          <w:rFonts w:asciiTheme="majorHAnsi" w:hAnsiTheme="majorHAnsi" w:cstheme="majorHAnsi"/>
          <w:sz w:val="24"/>
          <w:szCs w:val="24"/>
          <w:lang w:val="en-AU"/>
        </w:rPr>
        <w:t>,</w:t>
      </w:r>
      <w:r w:rsidR="00FC2761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or calm and whether she </w:t>
      </w:r>
      <w:r w:rsidR="00AE6B6F">
        <w:rPr>
          <w:rFonts w:asciiTheme="majorHAnsi" w:hAnsiTheme="majorHAnsi" w:cstheme="majorHAnsi"/>
          <w:sz w:val="24"/>
          <w:szCs w:val="24"/>
          <w:lang w:val="en-AU"/>
        </w:rPr>
        <w:t>can</w:t>
      </w:r>
      <w:r w:rsidR="00FC2761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move</w:t>
      </w:r>
      <w:r w:rsidR="00DB588E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</w:t>
      </w:r>
      <w:r w:rsidR="007F7633" w:rsidRPr="004B1D6F">
        <w:rPr>
          <w:rFonts w:asciiTheme="majorHAnsi" w:hAnsiTheme="majorHAnsi" w:cstheme="majorHAnsi"/>
          <w:sz w:val="24"/>
          <w:szCs w:val="24"/>
          <w:lang w:val="en-AU"/>
        </w:rPr>
        <w:t>(</w:t>
      </w:r>
      <w:r w:rsidR="007F7633" w:rsidRPr="004B1D6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en-AU"/>
        </w:rPr>
        <w:t>RCH Portal, n.d.)</w:t>
      </w:r>
      <w:r w:rsidR="00FC2761" w:rsidRPr="004B1D6F">
        <w:rPr>
          <w:rFonts w:asciiTheme="majorHAnsi" w:hAnsiTheme="majorHAnsi" w:cstheme="majorHAnsi"/>
          <w:sz w:val="24"/>
          <w:szCs w:val="24"/>
          <w:lang w:val="en-AU"/>
        </w:rPr>
        <w:t>.</w:t>
      </w:r>
      <w:r w:rsidR="0086720A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Tools such as Alert Voice Pain Unconscious score (AVPU) or Gross Motor Function Classification System (GMFCS) can be used to identify whether Venessa has developed a disability</w:t>
      </w:r>
      <w:r w:rsidR="00C90D24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or an abnormal movement.</w:t>
      </w:r>
      <w:r w:rsidR="004D40F1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Failure to perform a physical inspection on Venessa will interfere with the process of assessing the severity of the brain damage.</w:t>
      </w:r>
      <w:r w:rsidR="003B1883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Using the mentioned tools, it would be easier to find out whether the patient lost </w:t>
      </w:r>
      <w:r w:rsidR="003B1883" w:rsidRPr="004B1D6F">
        <w:rPr>
          <w:rFonts w:asciiTheme="majorHAnsi" w:hAnsiTheme="majorHAnsi" w:cstheme="majorHAnsi"/>
          <w:sz w:val="24"/>
          <w:szCs w:val="24"/>
          <w:lang w:val="en-AU"/>
        </w:rPr>
        <w:lastRenderedPageBreak/>
        <w:t>consciousness</w:t>
      </w:r>
      <w:r w:rsidR="002312D0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or experiences posttraumatic trauma</w:t>
      </w:r>
      <w:r w:rsidR="003804AD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(Currie et al., 2016)</w:t>
      </w:r>
      <w:r w:rsidR="002312D0" w:rsidRPr="004B1D6F">
        <w:rPr>
          <w:rFonts w:asciiTheme="majorHAnsi" w:hAnsiTheme="majorHAnsi" w:cstheme="majorHAnsi"/>
          <w:sz w:val="24"/>
          <w:szCs w:val="24"/>
          <w:lang w:val="en-AU"/>
        </w:rPr>
        <w:t>. Eventually, the patient is likely to develop a disability.</w:t>
      </w:r>
    </w:p>
    <w:p w14:paraId="5B689BE8" w14:textId="4BC6490D" w:rsidR="008D4E3E" w:rsidRPr="004B1D6F" w:rsidRDefault="008D4E3E" w:rsidP="00A245DB">
      <w:pPr>
        <w:spacing w:line="360" w:lineRule="auto"/>
        <w:ind w:firstLine="720"/>
        <w:rPr>
          <w:rFonts w:asciiTheme="majorHAnsi" w:hAnsiTheme="majorHAnsi" w:cstheme="majorHAnsi"/>
          <w:sz w:val="24"/>
          <w:szCs w:val="24"/>
          <w:lang w:val="en-AU"/>
        </w:rPr>
      </w:pPr>
      <w:r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Venessa had primary brain injuries due to the destruction of neuronal tissues. She had a depressed focal right temporal skull fracture which is a type of primary injury. Depending on how serious the brain injury may be, Venessa is likely to have </w:t>
      </w:r>
      <w:r w:rsidR="00643537" w:rsidRPr="004B1D6F">
        <w:rPr>
          <w:rFonts w:asciiTheme="majorHAnsi" w:hAnsiTheme="majorHAnsi" w:cstheme="majorHAnsi"/>
          <w:sz w:val="24"/>
          <w:szCs w:val="24"/>
          <w:lang w:val="en-AU"/>
        </w:rPr>
        <w:t>cognitive imbalances, altered behaviour</w:t>
      </w:r>
      <w:r w:rsidR="00B300FE">
        <w:rPr>
          <w:rFonts w:asciiTheme="majorHAnsi" w:hAnsiTheme="majorHAnsi" w:cstheme="majorHAnsi"/>
          <w:sz w:val="24"/>
          <w:szCs w:val="24"/>
          <w:lang w:val="en-AU"/>
        </w:rPr>
        <w:t>,</w:t>
      </w:r>
      <w:r w:rsidR="00643537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and an inability to move on one side</w:t>
      </w:r>
      <w:r w:rsidR="00A466D4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(Ng et al., 2019)</w:t>
      </w:r>
      <w:r w:rsidR="00643537" w:rsidRPr="004B1D6F">
        <w:rPr>
          <w:rFonts w:asciiTheme="majorHAnsi" w:hAnsiTheme="majorHAnsi" w:cstheme="majorHAnsi"/>
          <w:sz w:val="24"/>
          <w:szCs w:val="24"/>
          <w:lang w:val="en-AU"/>
        </w:rPr>
        <w:t>. These make it necessary to conduct the pain assessment, psychological assessment</w:t>
      </w:r>
      <w:r w:rsidR="00B300FE">
        <w:rPr>
          <w:rFonts w:asciiTheme="majorHAnsi" w:hAnsiTheme="majorHAnsi" w:cstheme="majorHAnsi"/>
          <w:sz w:val="24"/>
          <w:szCs w:val="24"/>
          <w:lang w:val="en-AU"/>
        </w:rPr>
        <w:t>,</w:t>
      </w:r>
      <w:r w:rsidR="00643537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and physical inspection on Venessa</w:t>
      </w:r>
      <w:r w:rsidR="00CC0243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during shifts.</w:t>
      </w:r>
      <w:r w:rsidR="008B4D37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The assessment will be recorded in the EMR flowsheets. Information from the assessments done through observations or </w:t>
      </w:r>
      <w:r w:rsidR="00794D98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the </w:t>
      </w:r>
      <w:r w:rsidR="008B4D37" w:rsidRPr="004B1D6F">
        <w:rPr>
          <w:rFonts w:asciiTheme="majorHAnsi" w:hAnsiTheme="majorHAnsi" w:cstheme="majorHAnsi"/>
          <w:sz w:val="24"/>
          <w:szCs w:val="24"/>
          <w:lang w:val="en-AU"/>
        </w:rPr>
        <w:t>use of tools</w:t>
      </w:r>
      <w:r w:rsidR="00D47909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throughout the shift</w:t>
      </w:r>
      <w:r w:rsidR="008B4D37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</w:t>
      </w:r>
      <w:r w:rsidR="00794D98" w:rsidRPr="004B1D6F">
        <w:rPr>
          <w:rFonts w:asciiTheme="majorHAnsi" w:hAnsiTheme="majorHAnsi" w:cstheme="majorHAnsi"/>
          <w:sz w:val="24"/>
          <w:szCs w:val="24"/>
          <w:lang w:val="en-AU"/>
        </w:rPr>
        <w:t>is</w:t>
      </w:r>
      <w:r w:rsidR="008B4D37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all documented in the flowsheets</w:t>
      </w:r>
      <w:r w:rsidR="007F7633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(</w:t>
      </w:r>
      <w:r w:rsidR="007F7633" w:rsidRPr="004B1D6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en-AU"/>
        </w:rPr>
        <w:t>RCH Portal, n.d.)</w:t>
      </w:r>
      <w:r w:rsidR="008B4D37" w:rsidRPr="004B1D6F">
        <w:rPr>
          <w:rFonts w:asciiTheme="majorHAnsi" w:hAnsiTheme="majorHAnsi" w:cstheme="majorHAnsi"/>
          <w:sz w:val="24"/>
          <w:szCs w:val="24"/>
          <w:lang w:val="en-AU"/>
        </w:rPr>
        <w:t>.</w:t>
      </w:r>
      <w:r w:rsidR="00D47909" w:rsidRPr="004B1D6F">
        <w:rPr>
          <w:rFonts w:asciiTheme="majorHAnsi" w:hAnsiTheme="majorHAnsi" w:cstheme="majorHAnsi"/>
          <w:sz w:val="24"/>
          <w:szCs w:val="24"/>
          <w:lang w:val="en-AU"/>
        </w:rPr>
        <w:t xml:space="preserve"> Medical information not documented in the flowsheets and any other amendments on the strategies of </w:t>
      </w:r>
      <w:r w:rsidR="00794D98" w:rsidRPr="004B1D6F">
        <w:rPr>
          <w:rFonts w:asciiTheme="majorHAnsi" w:hAnsiTheme="majorHAnsi" w:cstheme="majorHAnsi"/>
          <w:sz w:val="24"/>
          <w:szCs w:val="24"/>
          <w:lang w:val="en-AU"/>
        </w:rPr>
        <w:t>care for the patients are recorded as real-time progress notes.</w:t>
      </w:r>
    </w:p>
    <w:p w14:paraId="5865567F" w14:textId="00E10CE1" w:rsidR="00BE7000" w:rsidRPr="004B1D6F" w:rsidRDefault="00BE7000" w:rsidP="00A245DB">
      <w:pPr>
        <w:pStyle w:val="ListParagraph"/>
        <w:numPr>
          <w:ilvl w:val="0"/>
          <w:numId w:val="1"/>
        </w:numPr>
        <w:spacing w:line="360" w:lineRule="auto"/>
        <w:ind w:firstLine="720"/>
        <w:rPr>
          <w:rFonts w:asciiTheme="majorHAnsi" w:hAnsiTheme="majorHAnsi" w:cstheme="majorHAnsi"/>
          <w:b/>
          <w:bCs/>
          <w:sz w:val="24"/>
          <w:szCs w:val="24"/>
          <w:lang w:val="en-AU"/>
        </w:rPr>
      </w:pPr>
      <w:r w:rsidRPr="004B1D6F">
        <w:rPr>
          <w:rFonts w:asciiTheme="majorHAnsi" w:hAnsiTheme="majorHAnsi" w:cstheme="majorHAnsi"/>
          <w:b/>
          <w:bCs/>
          <w:sz w:val="24"/>
          <w:szCs w:val="24"/>
          <w:lang w:val="en-AU"/>
        </w:rPr>
        <w:t xml:space="preserve">Stage </w:t>
      </w:r>
      <w:r w:rsidR="007275BD" w:rsidRPr="004B1D6F">
        <w:rPr>
          <w:rFonts w:asciiTheme="majorHAnsi" w:hAnsiTheme="majorHAnsi" w:cstheme="majorHAnsi"/>
          <w:b/>
          <w:bCs/>
          <w:sz w:val="24"/>
          <w:szCs w:val="24"/>
          <w:lang w:val="en-AU"/>
        </w:rPr>
        <w:t>6 (Take Action)</w:t>
      </w:r>
    </w:p>
    <w:p w14:paraId="7731EC07" w14:textId="723F6B6A" w:rsidR="00766978" w:rsidRPr="004B1D6F" w:rsidRDefault="002779DE" w:rsidP="00A245DB">
      <w:pPr>
        <w:pStyle w:val="halfrhythm"/>
        <w:numPr>
          <w:ilvl w:val="0"/>
          <w:numId w:val="2"/>
        </w:numPr>
        <w:shd w:val="clear" w:color="auto" w:fill="FFFFFF"/>
        <w:spacing w:before="166" w:beforeAutospacing="0" w:after="166" w:afterAutospacing="0" w:line="360" w:lineRule="auto"/>
        <w:ind w:firstLine="720"/>
        <w:rPr>
          <w:rFonts w:asciiTheme="majorHAnsi" w:hAnsiTheme="majorHAnsi" w:cstheme="majorHAnsi"/>
          <w:color w:val="000000"/>
          <w:lang w:val="en-AU"/>
        </w:rPr>
      </w:pPr>
      <w:r w:rsidRPr="004B1D6F">
        <w:rPr>
          <w:rFonts w:asciiTheme="majorHAnsi" w:hAnsiTheme="majorHAnsi" w:cstheme="majorHAnsi"/>
          <w:lang w:val="en-AU"/>
        </w:rPr>
        <w:t xml:space="preserve">The nursing diagnosis for the Traumatic Brain Injury </w:t>
      </w:r>
      <w:r w:rsidR="006C2E28" w:rsidRPr="004B1D6F">
        <w:rPr>
          <w:rFonts w:asciiTheme="majorHAnsi" w:hAnsiTheme="majorHAnsi" w:cstheme="majorHAnsi"/>
          <w:lang w:val="en-AU"/>
        </w:rPr>
        <w:t>includes</w:t>
      </w:r>
      <w:r w:rsidRPr="004B1D6F">
        <w:rPr>
          <w:rFonts w:asciiTheme="majorHAnsi" w:hAnsiTheme="majorHAnsi" w:cstheme="majorHAnsi"/>
          <w:lang w:val="en-AU"/>
        </w:rPr>
        <w:t xml:space="preserve"> lower intracranial adaptive capacity</w:t>
      </w:r>
      <w:r w:rsidR="00BC0E59" w:rsidRPr="004B1D6F">
        <w:rPr>
          <w:rFonts w:asciiTheme="majorHAnsi" w:hAnsiTheme="majorHAnsi" w:cstheme="majorHAnsi"/>
          <w:lang w:val="en-AU"/>
        </w:rPr>
        <w:t xml:space="preserve"> and </w:t>
      </w:r>
      <w:r w:rsidR="006C2E28" w:rsidRPr="004B1D6F">
        <w:rPr>
          <w:rFonts w:asciiTheme="majorHAnsi" w:hAnsiTheme="majorHAnsi" w:cstheme="majorHAnsi"/>
          <w:lang w:val="en-AU"/>
        </w:rPr>
        <w:t>the presumed result is that Venessa would have desirable cerebral</w:t>
      </w:r>
      <w:r w:rsidR="00AC48FC" w:rsidRPr="004B1D6F">
        <w:rPr>
          <w:rFonts w:asciiTheme="majorHAnsi" w:hAnsiTheme="majorHAnsi" w:cstheme="majorHAnsi"/>
          <w:lang w:val="en-AU"/>
        </w:rPr>
        <w:t xml:space="preserve"> tissue perfusion shown by a constant Increased Intracranial Pressure and Level of </w:t>
      </w:r>
      <w:r w:rsidR="00932DB5" w:rsidRPr="004B1D6F">
        <w:rPr>
          <w:rFonts w:asciiTheme="majorHAnsi" w:hAnsiTheme="majorHAnsi" w:cstheme="majorHAnsi"/>
          <w:lang w:val="en-AU"/>
        </w:rPr>
        <w:t>Consciousness</w:t>
      </w:r>
      <w:r w:rsidR="00AC48FC" w:rsidRPr="004B1D6F">
        <w:rPr>
          <w:rFonts w:asciiTheme="majorHAnsi" w:hAnsiTheme="majorHAnsi" w:cstheme="majorHAnsi"/>
          <w:lang w:val="en-AU"/>
        </w:rPr>
        <w:t xml:space="preserve">. </w:t>
      </w:r>
      <w:r w:rsidR="00932DB5" w:rsidRPr="004B1D6F">
        <w:rPr>
          <w:rFonts w:asciiTheme="majorHAnsi" w:hAnsiTheme="majorHAnsi" w:cstheme="majorHAnsi"/>
          <w:lang w:val="en-AU"/>
        </w:rPr>
        <w:t>This diagnosis will examine the condition of the nervous system</w:t>
      </w:r>
      <w:r w:rsidR="006C2E28" w:rsidRPr="004B1D6F">
        <w:rPr>
          <w:rFonts w:asciiTheme="majorHAnsi" w:hAnsiTheme="majorHAnsi" w:cstheme="majorHAnsi"/>
          <w:lang w:val="en-AU"/>
        </w:rPr>
        <w:t xml:space="preserve"> </w:t>
      </w:r>
      <w:r w:rsidR="00932DB5" w:rsidRPr="004B1D6F">
        <w:rPr>
          <w:rFonts w:asciiTheme="majorHAnsi" w:hAnsiTheme="majorHAnsi" w:cstheme="majorHAnsi"/>
          <w:lang w:val="en-AU"/>
        </w:rPr>
        <w:t xml:space="preserve">and </w:t>
      </w:r>
      <w:r w:rsidR="00694895" w:rsidRPr="004B1D6F">
        <w:rPr>
          <w:rFonts w:asciiTheme="majorHAnsi" w:hAnsiTheme="majorHAnsi" w:cstheme="majorHAnsi"/>
          <w:lang w:val="en-AU"/>
        </w:rPr>
        <w:t xml:space="preserve">experiencing higher levels of confusion and agitation will mean that the state of the nervous system is </w:t>
      </w:r>
      <w:r w:rsidR="00ED4FF3" w:rsidRPr="004B1D6F">
        <w:rPr>
          <w:rFonts w:asciiTheme="majorHAnsi" w:hAnsiTheme="majorHAnsi" w:cstheme="majorHAnsi"/>
          <w:lang w:val="en-AU"/>
        </w:rPr>
        <w:t>worsening</w:t>
      </w:r>
      <w:r w:rsidR="0000415A" w:rsidRPr="004B1D6F">
        <w:rPr>
          <w:rFonts w:asciiTheme="majorHAnsi" w:hAnsiTheme="majorHAnsi" w:cstheme="majorHAnsi"/>
          <w:lang w:val="en-AU"/>
        </w:rPr>
        <w:t xml:space="preserve"> (</w:t>
      </w:r>
      <w:r w:rsidR="0000415A" w:rsidRPr="004B1D6F">
        <w:rPr>
          <w:rFonts w:asciiTheme="majorHAnsi" w:hAnsiTheme="majorHAnsi" w:cstheme="majorHAnsi"/>
          <w:color w:val="222222"/>
          <w:shd w:val="clear" w:color="auto" w:fill="FFFFFF"/>
          <w:lang w:val="en-AU"/>
        </w:rPr>
        <w:t>Deglin et al., 2014)</w:t>
      </w:r>
      <w:r w:rsidR="00ED4FF3" w:rsidRPr="004B1D6F">
        <w:rPr>
          <w:rFonts w:asciiTheme="majorHAnsi" w:hAnsiTheme="majorHAnsi" w:cstheme="majorHAnsi"/>
          <w:lang w:val="en-AU"/>
        </w:rPr>
        <w:t xml:space="preserve">. The diagnosis will also examine fluid leakage via the nose and ears called the cerebrospinal fluid which may be due to fractures in the brain. The absence of a </w:t>
      </w:r>
      <w:r w:rsidR="00703E33" w:rsidRPr="004B1D6F">
        <w:rPr>
          <w:rFonts w:asciiTheme="majorHAnsi" w:hAnsiTheme="majorHAnsi" w:cstheme="majorHAnsi"/>
          <w:lang w:val="en-AU"/>
        </w:rPr>
        <w:t>build-up</w:t>
      </w:r>
      <w:r w:rsidR="00ED4FF3" w:rsidRPr="004B1D6F">
        <w:rPr>
          <w:rFonts w:asciiTheme="majorHAnsi" w:hAnsiTheme="majorHAnsi" w:cstheme="majorHAnsi"/>
          <w:lang w:val="en-AU"/>
        </w:rPr>
        <w:t xml:space="preserve"> liquid in the brain will indicate the absence of </w:t>
      </w:r>
      <w:r w:rsidR="00703E33" w:rsidRPr="004B1D6F">
        <w:rPr>
          <w:rFonts w:asciiTheme="majorHAnsi" w:hAnsiTheme="majorHAnsi" w:cstheme="majorHAnsi"/>
          <w:lang w:val="en-AU"/>
        </w:rPr>
        <w:t>Increased Intracranial Pressure.</w:t>
      </w:r>
    </w:p>
    <w:p w14:paraId="2190068C" w14:textId="1148BB4E" w:rsidR="002979EA" w:rsidRPr="004B1D6F" w:rsidRDefault="00766978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left="720" w:firstLine="720"/>
        <w:rPr>
          <w:rFonts w:asciiTheme="majorHAnsi" w:hAnsiTheme="majorHAnsi" w:cstheme="majorHAnsi"/>
          <w:lang w:val="en-AU"/>
        </w:rPr>
      </w:pPr>
      <w:r w:rsidRPr="004B1D6F">
        <w:rPr>
          <w:rFonts w:asciiTheme="majorHAnsi" w:hAnsiTheme="majorHAnsi" w:cstheme="majorHAnsi"/>
          <w:lang w:val="en-AU"/>
        </w:rPr>
        <w:t xml:space="preserve">The other diagnosis to be done on Venessa will the </w:t>
      </w:r>
      <w:r w:rsidR="00A273C6" w:rsidRPr="004B1D6F">
        <w:rPr>
          <w:rFonts w:asciiTheme="majorHAnsi" w:hAnsiTheme="majorHAnsi" w:cstheme="majorHAnsi"/>
          <w:lang w:val="en-AU"/>
        </w:rPr>
        <w:t>assessing the possibility of seizures</w:t>
      </w:r>
      <w:r w:rsidR="00277829" w:rsidRPr="004B1D6F">
        <w:rPr>
          <w:rFonts w:asciiTheme="majorHAnsi" w:hAnsiTheme="majorHAnsi" w:cstheme="majorHAnsi"/>
          <w:lang w:val="en-AU"/>
        </w:rPr>
        <w:t xml:space="preserve"> and the result expected should show that Venessa has no seizures and therefore no expected injuries. </w:t>
      </w:r>
      <w:r w:rsidR="00C373D0" w:rsidRPr="004B1D6F">
        <w:rPr>
          <w:rFonts w:asciiTheme="majorHAnsi" w:hAnsiTheme="majorHAnsi" w:cstheme="majorHAnsi"/>
          <w:lang w:val="en-AU"/>
        </w:rPr>
        <w:t>The effects of seizures on the</w:t>
      </w:r>
      <w:r w:rsidR="00260F86" w:rsidRPr="004B1D6F">
        <w:rPr>
          <w:rFonts w:asciiTheme="majorHAnsi" w:hAnsiTheme="majorHAnsi" w:cstheme="majorHAnsi"/>
          <w:lang w:val="en-AU"/>
        </w:rPr>
        <w:t xml:space="preserve"> patient include open and closed brain </w:t>
      </w:r>
      <w:r w:rsidR="008C0A3B" w:rsidRPr="004B1D6F">
        <w:rPr>
          <w:rFonts w:asciiTheme="majorHAnsi" w:hAnsiTheme="majorHAnsi" w:cstheme="majorHAnsi"/>
          <w:lang w:val="en-AU"/>
        </w:rPr>
        <w:t>damage</w:t>
      </w:r>
      <w:r w:rsidR="00AA7A78" w:rsidRPr="004B1D6F">
        <w:rPr>
          <w:rFonts w:asciiTheme="majorHAnsi" w:hAnsiTheme="majorHAnsi" w:cstheme="majorHAnsi"/>
          <w:lang w:val="en-AU"/>
        </w:rPr>
        <w:t>, in</w:t>
      </w:r>
      <w:r w:rsidR="008C0A3B" w:rsidRPr="004B1D6F">
        <w:rPr>
          <w:rFonts w:asciiTheme="majorHAnsi" w:hAnsiTheme="majorHAnsi" w:cstheme="majorHAnsi"/>
          <w:lang w:val="en-AU"/>
        </w:rPr>
        <w:t>tra</w:t>
      </w:r>
      <w:r w:rsidR="00AA7A78" w:rsidRPr="004B1D6F">
        <w:rPr>
          <w:rFonts w:asciiTheme="majorHAnsi" w:hAnsiTheme="majorHAnsi" w:cstheme="majorHAnsi"/>
          <w:lang w:val="en-AU"/>
        </w:rPr>
        <w:t>cranial bleeding, hypoxia</w:t>
      </w:r>
      <w:r w:rsidR="008C0A3B" w:rsidRPr="004B1D6F">
        <w:rPr>
          <w:rFonts w:asciiTheme="majorHAnsi" w:hAnsiTheme="majorHAnsi" w:cstheme="majorHAnsi"/>
          <w:lang w:val="en-AU"/>
        </w:rPr>
        <w:t>,</w:t>
      </w:r>
      <w:r w:rsidR="00AA7A78" w:rsidRPr="004B1D6F">
        <w:rPr>
          <w:rFonts w:asciiTheme="majorHAnsi" w:hAnsiTheme="majorHAnsi" w:cstheme="majorHAnsi"/>
          <w:lang w:val="en-AU"/>
        </w:rPr>
        <w:t xml:space="preserve"> and contusion. </w:t>
      </w:r>
      <w:r w:rsidR="008C0A3B" w:rsidRPr="004B1D6F">
        <w:rPr>
          <w:rFonts w:asciiTheme="majorHAnsi" w:hAnsiTheme="majorHAnsi" w:cstheme="majorHAnsi"/>
          <w:lang w:val="en-AU"/>
        </w:rPr>
        <w:t>In case</w:t>
      </w:r>
      <w:r w:rsidR="008B0A36" w:rsidRPr="004B1D6F">
        <w:rPr>
          <w:rFonts w:asciiTheme="majorHAnsi" w:hAnsiTheme="majorHAnsi" w:cstheme="majorHAnsi"/>
          <w:lang w:val="en-AU"/>
        </w:rPr>
        <w:t xml:space="preserve"> the patient experiences seizure activity, her airway must </w:t>
      </w:r>
      <w:r w:rsidR="008C0A3B" w:rsidRPr="004B1D6F">
        <w:rPr>
          <w:rFonts w:asciiTheme="majorHAnsi" w:hAnsiTheme="majorHAnsi" w:cstheme="majorHAnsi"/>
          <w:lang w:val="en-AU"/>
        </w:rPr>
        <w:t>be</w:t>
      </w:r>
      <w:r w:rsidR="008B0A36" w:rsidRPr="004B1D6F">
        <w:rPr>
          <w:rFonts w:asciiTheme="majorHAnsi" w:hAnsiTheme="majorHAnsi" w:cstheme="majorHAnsi"/>
          <w:lang w:val="en-AU"/>
        </w:rPr>
        <w:t xml:space="preserve"> safeguarded since at this point she cannot </w:t>
      </w:r>
      <w:r w:rsidR="008C0A3B" w:rsidRPr="004B1D6F">
        <w:rPr>
          <w:rFonts w:asciiTheme="majorHAnsi" w:hAnsiTheme="majorHAnsi" w:cstheme="majorHAnsi"/>
          <w:lang w:val="en-AU"/>
        </w:rPr>
        <w:t>be</w:t>
      </w:r>
      <w:r w:rsidR="008B0A36" w:rsidRPr="004B1D6F">
        <w:rPr>
          <w:rFonts w:asciiTheme="majorHAnsi" w:hAnsiTheme="majorHAnsi" w:cstheme="majorHAnsi"/>
          <w:lang w:val="en-AU"/>
        </w:rPr>
        <w:t xml:space="preserve"> able to coordinate her </w:t>
      </w:r>
      <w:r w:rsidR="008C0A3B" w:rsidRPr="004B1D6F">
        <w:rPr>
          <w:rFonts w:asciiTheme="majorHAnsi" w:hAnsiTheme="majorHAnsi" w:cstheme="majorHAnsi"/>
          <w:lang w:val="en-AU"/>
        </w:rPr>
        <w:t>muscle</w:t>
      </w:r>
      <w:r w:rsidR="008B0A36" w:rsidRPr="004B1D6F">
        <w:rPr>
          <w:rFonts w:asciiTheme="majorHAnsi" w:hAnsiTheme="majorHAnsi" w:cstheme="majorHAnsi"/>
          <w:lang w:val="en-AU"/>
        </w:rPr>
        <w:t xml:space="preserve"> movement</w:t>
      </w:r>
      <w:r w:rsidR="0000415A" w:rsidRPr="004B1D6F">
        <w:rPr>
          <w:rFonts w:asciiTheme="majorHAnsi" w:hAnsiTheme="majorHAnsi" w:cstheme="majorHAnsi"/>
          <w:lang w:val="en-AU"/>
        </w:rPr>
        <w:t xml:space="preserve"> (</w:t>
      </w:r>
      <w:r w:rsidR="0000415A" w:rsidRPr="004B1D6F">
        <w:rPr>
          <w:rFonts w:asciiTheme="majorHAnsi" w:hAnsiTheme="majorHAnsi" w:cstheme="majorHAnsi"/>
          <w:color w:val="222222"/>
          <w:shd w:val="clear" w:color="auto" w:fill="FFFFFF"/>
          <w:lang w:val="en-AU"/>
        </w:rPr>
        <w:t>Deglin et al., 2014)</w:t>
      </w:r>
      <w:r w:rsidR="008B0A36" w:rsidRPr="004B1D6F">
        <w:rPr>
          <w:rFonts w:asciiTheme="majorHAnsi" w:hAnsiTheme="majorHAnsi" w:cstheme="majorHAnsi"/>
          <w:lang w:val="en-AU"/>
        </w:rPr>
        <w:t>.</w:t>
      </w:r>
      <w:r w:rsidR="00745283" w:rsidRPr="004B1D6F">
        <w:rPr>
          <w:rFonts w:asciiTheme="majorHAnsi" w:hAnsiTheme="majorHAnsi" w:cstheme="majorHAnsi"/>
          <w:lang w:val="en-AU"/>
        </w:rPr>
        <w:t xml:space="preserve"> In case there is seizure activity in </w:t>
      </w:r>
      <w:r w:rsidR="00745283" w:rsidRPr="004B1D6F">
        <w:rPr>
          <w:rFonts w:asciiTheme="majorHAnsi" w:hAnsiTheme="majorHAnsi" w:cstheme="majorHAnsi"/>
          <w:lang w:val="en-AU"/>
        </w:rPr>
        <w:lastRenderedPageBreak/>
        <w:t xml:space="preserve">Venessa, it </w:t>
      </w:r>
      <w:r w:rsidR="008C0A3B" w:rsidRPr="004B1D6F">
        <w:rPr>
          <w:rFonts w:asciiTheme="majorHAnsi" w:hAnsiTheme="majorHAnsi" w:cstheme="majorHAnsi"/>
          <w:lang w:val="en-AU"/>
        </w:rPr>
        <w:t xml:space="preserve">is </w:t>
      </w:r>
      <w:r w:rsidR="00745283" w:rsidRPr="004B1D6F">
        <w:rPr>
          <w:rFonts w:asciiTheme="majorHAnsi" w:hAnsiTheme="majorHAnsi" w:cstheme="majorHAnsi"/>
          <w:lang w:val="en-AU"/>
        </w:rPr>
        <w:t>important to note when it starts, the time it takes, the type of seizure</w:t>
      </w:r>
      <w:r w:rsidR="008C0A3B" w:rsidRPr="004B1D6F">
        <w:rPr>
          <w:rFonts w:asciiTheme="majorHAnsi" w:hAnsiTheme="majorHAnsi" w:cstheme="majorHAnsi"/>
          <w:lang w:val="en-AU"/>
        </w:rPr>
        <w:t>,</w:t>
      </w:r>
      <w:r w:rsidR="00745283" w:rsidRPr="004B1D6F">
        <w:rPr>
          <w:rFonts w:asciiTheme="majorHAnsi" w:hAnsiTheme="majorHAnsi" w:cstheme="majorHAnsi"/>
          <w:lang w:val="en-AU"/>
        </w:rPr>
        <w:t xml:space="preserve"> and </w:t>
      </w:r>
      <w:r w:rsidR="00D92658" w:rsidRPr="004B1D6F">
        <w:rPr>
          <w:rFonts w:asciiTheme="majorHAnsi" w:hAnsiTheme="majorHAnsi" w:cstheme="majorHAnsi"/>
          <w:lang w:val="en-AU"/>
        </w:rPr>
        <w:t xml:space="preserve">the </w:t>
      </w:r>
      <w:r w:rsidR="00567F69" w:rsidRPr="004B1D6F">
        <w:rPr>
          <w:rFonts w:asciiTheme="majorHAnsi" w:hAnsiTheme="majorHAnsi" w:cstheme="majorHAnsi"/>
          <w:lang w:val="en-AU"/>
        </w:rPr>
        <w:t>patient’s</w:t>
      </w:r>
      <w:r w:rsidR="00D92658" w:rsidRPr="004B1D6F">
        <w:rPr>
          <w:rFonts w:asciiTheme="majorHAnsi" w:hAnsiTheme="majorHAnsi" w:cstheme="majorHAnsi"/>
          <w:lang w:val="en-AU"/>
        </w:rPr>
        <w:t xml:space="preserve"> actions when the seizure activity starts, during that period</w:t>
      </w:r>
      <w:r w:rsidR="00567F69" w:rsidRPr="004B1D6F">
        <w:rPr>
          <w:rFonts w:asciiTheme="majorHAnsi" w:hAnsiTheme="majorHAnsi" w:cstheme="majorHAnsi"/>
          <w:lang w:val="en-AU"/>
        </w:rPr>
        <w:t>,</w:t>
      </w:r>
      <w:r w:rsidR="00D92658" w:rsidRPr="004B1D6F">
        <w:rPr>
          <w:rFonts w:asciiTheme="majorHAnsi" w:hAnsiTheme="majorHAnsi" w:cstheme="majorHAnsi"/>
          <w:lang w:val="en-AU"/>
        </w:rPr>
        <w:t xml:space="preserve"> and after.</w:t>
      </w:r>
    </w:p>
    <w:p w14:paraId="54B7CB69" w14:textId="77AF77C5" w:rsidR="007275BD" w:rsidRPr="004B1D6F" w:rsidRDefault="00260F86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rPr>
          <w:rFonts w:asciiTheme="majorHAnsi" w:hAnsiTheme="majorHAnsi" w:cstheme="majorHAnsi"/>
          <w:color w:val="000000"/>
          <w:lang w:val="en-AU"/>
        </w:rPr>
      </w:pPr>
      <w:r w:rsidRPr="004B1D6F">
        <w:rPr>
          <w:rFonts w:asciiTheme="majorHAnsi" w:hAnsiTheme="majorHAnsi" w:cstheme="majorHAnsi"/>
          <w:lang w:val="en-AU"/>
        </w:rPr>
        <w:t xml:space="preserve"> </w:t>
      </w:r>
      <w:r w:rsidR="00C373D0" w:rsidRPr="004B1D6F">
        <w:rPr>
          <w:rFonts w:asciiTheme="majorHAnsi" w:hAnsiTheme="majorHAnsi" w:cstheme="majorHAnsi"/>
          <w:lang w:val="en-AU"/>
        </w:rPr>
        <w:t xml:space="preserve"> </w:t>
      </w:r>
      <w:r w:rsidR="002979EA" w:rsidRPr="004B1D6F">
        <w:rPr>
          <w:rFonts w:asciiTheme="majorHAnsi" w:hAnsiTheme="majorHAnsi" w:cstheme="majorHAnsi"/>
          <w:color w:val="000000"/>
          <w:lang w:val="en-AU"/>
        </w:rPr>
        <w:t xml:space="preserve"> </w:t>
      </w:r>
      <w:r w:rsidR="002779DE" w:rsidRPr="004B1D6F">
        <w:rPr>
          <w:rFonts w:asciiTheme="majorHAnsi" w:hAnsiTheme="majorHAnsi" w:cstheme="majorHAnsi"/>
          <w:color w:val="000000"/>
          <w:lang w:val="en-AU"/>
        </w:rPr>
        <w:t>Deficient knowledge</w:t>
      </w:r>
      <w:r w:rsidR="002979EA" w:rsidRPr="004B1D6F">
        <w:rPr>
          <w:rFonts w:asciiTheme="majorHAnsi" w:hAnsiTheme="majorHAnsi" w:cstheme="majorHAnsi"/>
          <w:color w:val="000000"/>
          <w:lang w:val="en-AU"/>
        </w:rPr>
        <w:t xml:space="preserve"> in head injury is another nursing diagnosis</w:t>
      </w:r>
      <w:r w:rsidR="00567F69" w:rsidRPr="004B1D6F">
        <w:rPr>
          <w:rFonts w:asciiTheme="majorHAnsi" w:hAnsiTheme="majorHAnsi" w:cstheme="majorHAnsi"/>
          <w:color w:val="000000"/>
          <w:lang w:val="en-AU"/>
        </w:rPr>
        <w:t xml:space="preserve"> and it will help know whether the patient is </w:t>
      </w:r>
      <w:r w:rsidR="00AD1C14" w:rsidRPr="004B1D6F">
        <w:rPr>
          <w:rFonts w:asciiTheme="majorHAnsi" w:hAnsiTheme="majorHAnsi" w:cstheme="majorHAnsi"/>
          <w:color w:val="000000"/>
          <w:lang w:val="en-AU"/>
        </w:rPr>
        <w:t>knowledgeable on traumatic bread injury in addition to the procedures</w:t>
      </w:r>
      <w:r w:rsidR="008C0A3B" w:rsidRPr="004B1D6F">
        <w:rPr>
          <w:rFonts w:asciiTheme="majorHAnsi" w:hAnsiTheme="majorHAnsi" w:cstheme="majorHAnsi"/>
          <w:color w:val="000000"/>
          <w:lang w:val="en-AU"/>
        </w:rPr>
        <w:t xml:space="preserve">, </w:t>
      </w:r>
      <w:r w:rsidR="00AD1C14" w:rsidRPr="004B1D6F">
        <w:rPr>
          <w:rFonts w:asciiTheme="majorHAnsi" w:hAnsiTheme="majorHAnsi" w:cstheme="majorHAnsi"/>
          <w:color w:val="000000"/>
          <w:lang w:val="en-AU"/>
        </w:rPr>
        <w:t>treatment</w:t>
      </w:r>
      <w:r w:rsidR="00161F31" w:rsidRPr="004B1D6F">
        <w:rPr>
          <w:rFonts w:asciiTheme="majorHAnsi" w:hAnsiTheme="majorHAnsi" w:cstheme="majorHAnsi"/>
          <w:color w:val="000000"/>
          <w:lang w:val="en-AU"/>
        </w:rPr>
        <w:t xml:space="preserve"> and how the condition can be </w:t>
      </w:r>
      <w:r w:rsidR="008C0A3B" w:rsidRPr="004B1D6F">
        <w:rPr>
          <w:rFonts w:asciiTheme="majorHAnsi" w:hAnsiTheme="majorHAnsi" w:cstheme="majorHAnsi"/>
          <w:color w:val="000000"/>
          <w:lang w:val="en-AU"/>
        </w:rPr>
        <w:t>overcome</w:t>
      </w:r>
      <w:r w:rsidR="00161F31" w:rsidRPr="004B1D6F">
        <w:rPr>
          <w:rFonts w:asciiTheme="majorHAnsi" w:hAnsiTheme="majorHAnsi" w:cstheme="majorHAnsi"/>
          <w:color w:val="000000"/>
          <w:lang w:val="en-AU"/>
        </w:rPr>
        <w:t>.</w:t>
      </w:r>
      <w:r w:rsidR="008C0A3B" w:rsidRPr="004B1D6F">
        <w:rPr>
          <w:rFonts w:asciiTheme="majorHAnsi" w:hAnsiTheme="majorHAnsi" w:cstheme="majorHAnsi"/>
          <w:color w:val="000000"/>
          <w:lang w:val="en-AU"/>
        </w:rPr>
        <w:t xml:space="preserve"> This diagnosis will include an analysis of the cognitive functionality and the response to learning the new concepts.</w:t>
      </w:r>
      <w:r w:rsidR="00500F4B" w:rsidRPr="004B1D6F">
        <w:rPr>
          <w:rFonts w:asciiTheme="majorHAnsi" w:hAnsiTheme="majorHAnsi" w:cstheme="majorHAnsi"/>
          <w:color w:val="000000"/>
          <w:lang w:val="en-AU"/>
        </w:rPr>
        <w:t xml:space="preserve"> Due to the brain injury, the patient is likely to experience memory loss</w:t>
      </w:r>
      <w:r w:rsidR="00A412A0" w:rsidRPr="004B1D6F">
        <w:rPr>
          <w:rFonts w:asciiTheme="majorHAnsi" w:hAnsiTheme="majorHAnsi" w:cstheme="majorHAnsi"/>
          <w:color w:val="000000"/>
          <w:lang w:val="en-AU"/>
        </w:rPr>
        <w:t xml:space="preserve"> and </w:t>
      </w:r>
      <w:r w:rsidR="00AE6B6F" w:rsidRPr="004B1D6F">
        <w:rPr>
          <w:rFonts w:asciiTheme="majorHAnsi" w:hAnsiTheme="majorHAnsi" w:cstheme="majorHAnsi"/>
          <w:color w:val="000000"/>
          <w:lang w:val="en-AU"/>
        </w:rPr>
        <w:t>behavioural</w:t>
      </w:r>
      <w:r w:rsidR="00A412A0" w:rsidRPr="004B1D6F">
        <w:rPr>
          <w:rFonts w:asciiTheme="majorHAnsi" w:hAnsiTheme="majorHAnsi" w:cstheme="majorHAnsi"/>
          <w:color w:val="000000"/>
          <w:lang w:val="en-AU"/>
        </w:rPr>
        <w:t xml:space="preserve"> changes</w:t>
      </w:r>
      <w:r w:rsidR="0000415A" w:rsidRPr="004B1D6F">
        <w:rPr>
          <w:rFonts w:asciiTheme="majorHAnsi" w:hAnsiTheme="majorHAnsi" w:cstheme="majorHAnsi"/>
          <w:color w:val="000000"/>
          <w:lang w:val="en-AU"/>
        </w:rPr>
        <w:t xml:space="preserve"> </w:t>
      </w:r>
      <w:r w:rsidR="0000415A" w:rsidRPr="004B1D6F">
        <w:rPr>
          <w:rFonts w:asciiTheme="majorHAnsi" w:hAnsiTheme="majorHAnsi" w:cstheme="majorHAnsi"/>
          <w:lang w:val="en-AU"/>
        </w:rPr>
        <w:t>(</w:t>
      </w:r>
      <w:r w:rsidR="0000415A" w:rsidRPr="004B1D6F">
        <w:rPr>
          <w:rFonts w:asciiTheme="majorHAnsi" w:hAnsiTheme="majorHAnsi" w:cstheme="majorHAnsi"/>
          <w:color w:val="222222"/>
          <w:shd w:val="clear" w:color="auto" w:fill="FFFFFF"/>
          <w:lang w:val="en-AU"/>
        </w:rPr>
        <w:t>Deglin et al., 2014)</w:t>
      </w:r>
      <w:r w:rsidR="00A412A0" w:rsidRPr="004B1D6F">
        <w:rPr>
          <w:rFonts w:asciiTheme="majorHAnsi" w:hAnsiTheme="majorHAnsi" w:cstheme="majorHAnsi"/>
          <w:color w:val="000000"/>
          <w:lang w:val="en-AU"/>
        </w:rPr>
        <w:t xml:space="preserve">. Therefore, the patient may not be able to fully concentrate </w:t>
      </w:r>
      <w:r w:rsidR="00E14A94" w:rsidRPr="004B1D6F">
        <w:rPr>
          <w:rFonts w:asciiTheme="majorHAnsi" w:hAnsiTheme="majorHAnsi" w:cstheme="majorHAnsi"/>
          <w:color w:val="000000"/>
          <w:lang w:val="en-AU"/>
        </w:rPr>
        <w:t>on</w:t>
      </w:r>
      <w:r w:rsidR="00A412A0" w:rsidRPr="004B1D6F">
        <w:rPr>
          <w:rFonts w:asciiTheme="majorHAnsi" w:hAnsiTheme="majorHAnsi" w:cstheme="majorHAnsi"/>
          <w:color w:val="000000"/>
          <w:lang w:val="en-AU"/>
        </w:rPr>
        <w:t xml:space="preserve"> learning new things. Additionally, close family members need to be informed about the health conditions of patients. They can also give</w:t>
      </w:r>
      <w:r w:rsidR="00AA4E40" w:rsidRPr="004B1D6F">
        <w:rPr>
          <w:rFonts w:asciiTheme="majorHAnsi" w:hAnsiTheme="majorHAnsi" w:cstheme="majorHAnsi"/>
          <w:color w:val="000000"/>
          <w:lang w:val="en-AU"/>
        </w:rPr>
        <w:t xml:space="preserve"> previously</w:t>
      </w:r>
      <w:r w:rsidR="00A412A0" w:rsidRPr="004B1D6F">
        <w:rPr>
          <w:rFonts w:asciiTheme="majorHAnsi" w:hAnsiTheme="majorHAnsi" w:cstheme="majorHAnsi"/>
          <w:color w:val="000000"/>
          <w:lang w:val="en-AU"/>
        </w:rPr>
        <w:t xml:space="preserve"> unnoted information</w:t>
      </w:r>
      <w:r w:rsidR="00AA4E40" w:rsidRPr="004B1D6F">
        <w:rPr>
          <w:rFonts w:asciiTheme="majorHAnsi" w:hAnsiTheme="majorHAnsi" w:cstheme="majorHAnsi"/>
          <w:color w:val="000000"/>
          <w:lang w:val="en-AU"/>
        </w:rPr>
        <w:t xml:space="preserve"> concerning the patient before she had the brain injury.</w:t>
      </w:r>
      <w:r w:rsidR="00A412A0" w:rsidRPr="004B1D6F">
        <w:rPr>
          <w:rFonts w:asciiTheme="majorHAnsi" w:hAnsiTheme="majorHAnsi" w:cstheme="majorHAnsi"/>
          <w:color w:val="000000"/>
          <w:lang w:val="en-AU"/>
        </w:rPr>
        <w:t xml:space="preserve"> </w:t>
      </w:r>
      <w:r w:rsidR="00AA4E40" w:rsidRPr="004B1D6F">
        <w:rPr>
          <w:rFonts w:asciiTheme="majorHAnsi" w:hAnsiTheme="majorHAnsi" w:cstheme="majorHAnsi"/>
          <w:color w:val="000000"/>
          <w:lang w:val="en-AU"/>
        </w:rPr>
        <w:t xml:space="preserve">This will </w:t>
      </w:r>
      <w:r w:rsidR="00A412A0" w:rsidRPr="004B1D6F">
        <w:rPr>
          <w:rFonts w:asciiTheme="majorHAnsi" w:hAnsiTheme="majorHAnsi" w:cstheme="majorHAnsi"/>
          <w:color w:val="000000"/>
          <w:lang w:val="en-AU"/>
        </w:rPr>
        <w:t xml:space="preserve">help in </w:t>
      </w:r>
      <w:r w:rsidR="00AA4E40" w:rsidRPr="004B1D6F">
        <w:rPr>
          <w:rFonts w:asciiTheme="majorHAnsi" w:hAnsiTheme="majorHAnsi" w:cstheme="majorHAnsi"/>
          <w:color w:val="000000"/>
          <w:lang w:val="en-AU"/>
        </w:rPr>
        <w:t xml:space="preserve">providing </w:t>
      </w:r>
      <w:r w:rsidR="00E14A94" w:rsidRPr="004B1D6F">
        <w:rPr>
          <w:rFonts w:asciiTheme="majorHAnsi" w:hAnsiTheme="majorHAnsi" w:cstheme="majorHAnsi"/>
          <w:color w:val="000000"/>
          <w:lang w:val="en-AU"/>
        </w:rPr>
        <w:t>appropriately</w:t>
      </w:r>
      <w:r w:rsidR="00AA4E40" w:rsidRPr="004B1D6F">
        <w:rPr>
          <w:rFonts w:asciiTheme="majorHAnsi" w:hAnsiTheme="majorHAnsi" w:cstheme="majorHAnsi"/>
          <w:color w:val="000000"/>
          <w:lang w:val="en-AU"/>
        </w:rPr>
        <w:t xml:space="preserve"> for instance information on opioid abuse.</w:t>
      </w:r>
    </w:p>
    <w:p w14:paraId="0035851C" w14:textId="010B1CCC" w:rsidR="00E04A3D" w:rsidRPr="004B1D6F" w:rsidRDefault="00E14A94" w:rsidP="008D71A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rPr>
          <w:rFonts w:asciiTheme="majorHAnsi" w:hAnsiTheme="majorHAnsi" w:cstheme="majorHAnsi"/>
          <w:color w:val="000000"/>
          <w:shd w:val="clear" w:color="auto" w:fill="FFFFFF"/>
          <w:lang w:val="en-AU"/>
        </w:rPr>
      </w:pPr>
      <w:r w:rsidRPr="004B1D6F">
        <w:rPr>
          <w:rFonts w:asciiTheme="majorHAnsi" w:hAnsiTheme="majorHAnsi" w:cstheme="majorHAnsi"/>
          <w:color w:val="000000"/>
          <w:lang w:val="en-AU"/>
        </w:rPr>
        <w:t xml:space="preserve">The nursing actions will include right positioning where the neck </w:t>
      </w:r>
      <w:r w:rsidR="00121677" w:rsidRPr="004B1D6F">
        <w:rPr>
          <w:rFonts w:asciiTheme="majorHAnsi" w:hAnsiTheme="majorHAnsi" w:cstheme="majorHAnsi"/>
          <w:color w:val="000000"/>
          <w:lang w:val="en-AU"/>
        </w:rPr>
        <w:t>stays</w:t>
      </w:r>
      <w:r w:rsidRPr="004B1D6F">
        <w:rPr>
          <w:rFonts w:asciiTheme="majorHAnsi" w:hAnsiTheme="majorHAnsi" w:cstheme="majorHAnsi"/>
          <w:color w:val="000000"/>
          <w:lang w:val="en-AU"/>
        </w:rPr>
        <w:t xml:space="preserve"> in the middle and the angle between the bed and the head </w:t>
      </w:r>
      <w:r w:rsidR="00121677" w:rsidRPr="004B1D6F">
        <w:rPr>
          <w:rFonts w:asciiTheme="majorHAnsi" w:hAnsiTheme="majorHAnsi" w:cstheme="majorHAnsi"/>
          <w:color w:val="000000"/>
          <w:lang w:val="en-AU"/>
        </w:rPr>
        <w:t>is</w:t>
      </w:r>
      <w:r w:rsidRPr="004B1D6F">
        <w:rPr>
          <w:rFonts w:asciiTheme="majorHAnsi" w:hAnsiTheme="majorHAnsi" w:cstheme="majorHAnsi"/>
          <w:color w:val="000000"/>
          <w:lang w:val="en-AU"/>
        </w:rPr>
        <w:t xml:space="preserve"> around 30 degrees</w:t>
      </w:r>
      <w:r w:rsidR="00121677" w:rsidRPr="004B1D6F">
        <w:rPr>
          <w:rFonts w:asciiTheme="majorHAnsi" w:hAnsiTheme="majorHAnsi" w:cstheme="majorHAnsi"/>
          <w:color w:val="000000"/>
          <w:lang w:val="en-AU"/>
        </w:rPr>
        <w:t xml:space="preserve">, this aids in boosting cerebral blood movement. Another action is seizure treatment action which can be done by administering </w:t>
      </w:r>
      <w:r w:rsidR="004F7C09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>fosphenytoin at a dose of 20mg/kg</w:t>
      </w:r>
      <w:r w:rsidR="0000415A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 xml:space="preserve"> (</w:t>
      </w:r>
      <w:r w:rsidR="0000415A" w:rsidRPr="004B1D6F">
        <w:rPr>
          <w:rFonts w:asciiTheme="majorHAnsi" w:hAnsiTheme="majorHAnsi" w:cstheme="majorHAnsi"/>
          <w:color w:val="222222"/>
          <w:shd w:val="clear" w:color="auto" w:fill="FFFFFF"/>
          <w:lang w:val="en-AU"/>
        </w:rPr>
        <w:t>Shaikh et al., 2022)</w:t>
      </w:r>
      <w:r w:rsidR="004F7C09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 xml:space="preserve">. This treatment </w:t>
      </w:r>
      <w:r w:rsidR="00CA1F31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 xml:space="preserve">helps prevent further brain injuries by </w:t>
      </w:r>
      <w:r w:rsidR="001A4DEA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 xml:space="preserve">adding more Increased Intracranial Pressure. </w:t>
      </w:r>
      <w:r w:rsidR="00930455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>In case</w:t>
      </w:r>
      <w:r w:rsidR="00FF1C47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 xml:space="preserve"> the patient needs to be transferred to </w:t>
      </w:r>
      <w:r w:rsidR="00150046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>different locations for scanning</w:t>
      </w:r>
      <w:r w:rsidR="00D950AA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 xml:space="preserve"> or using the toilet</w:t>
      </w:r>
      <w:r w:rsidR="00150046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>, she should be carried with care</w:t>
      </w:r>
      <w:r w:rsidR="00930455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 xml:space="preserve"> and proper protection</w:t>
      </w:r>
      <w:r w:rsidR="00726C91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 xml:space="preserve"> (</w:t>
      </w:r>
      <w:r w:rsidR="00726C91" w:rsidRPr="004B1D6F">
        <w:rPr>
          <w:rFonts w:asciiTheme="majorHAnsi" w:hAnsiTheme="majorHAnsi" w:cstheme="majorHAnsi"/>
          <w:lang w:val="en-AU"/>
        </w:rPr>
        <w:t>Varghese et al., 2017)</w:t>
      </w:r>
      <w:r w:rsidR="00930455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 xml:space="preserve">. This action can be performed by trained professionals who are </w:t>
      </w:r>
      <w:r w:rsidR="006D55C6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 xml:space="preserve">skilled to help in administration, prolonged supervision, </w:t>
      </w:r>
      <w:r w:rsidR="0000415A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>helping</w:t>
      </w:r>
      <w:r w:rsidR="006D55C6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 xml:space="preserve"> protect the patient from further injuries and finalize on documentation.</w:t>
      </w:r>
      <w:r w:rsidR="00D05A58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 xml:space="preserve"> Lastly, I would recommend early </w:t>
      </w:r>
      <w:r w:rsidR="0013140B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>in-hospital</w:t>
      </w:r>
      <w:r w:rsidR="00D05A58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 xml:space="preserve"> rehabilitation to </w:t>
      </w:r>
      <w:r w:rsidR="0013140B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>speed up her healing process of Venessa and help her recover from opioid abuse.</w:t>
      </w:r>
      <w:r w:rsidR="00150046" w:rsidRPr="004B1D6F">
        <w:rPr>
          <w:rFonts w:asciiTheme="majorHAnsi" w:hAnsiTheme="majorHAnsi" w:cstheme="majorHAnsi"/>
          <w:color w:val="000000"/>
          <w:shd w:val="clear" w:color="auto" w:fill="FFFFFF"/>
          <w:lang w:val="en-AU"/>
        </w:rPr>
        <w:t xml:space="preserve"> </w:t>
      </w:r>
    </w:p>
    <w:p w14:paraId="5C017583" w14:textId="1748EC6E" w:rsidR="00E04A3D" w:rsidRPr="004B1D6F" w:rsidRDefault="00E04A3D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rPr>
          <w:rFonts w:asciiTheme="majorHAnsi" w:hAnsiTheme="majorHAnsi" w:cstheme="majorHAnsi"/>
          <w:b/>
          <w:bCs/>
          <w:color w:val="000000"/>
          <w:shd w:val="clear" w:color="auto" w:fill="FFFFFF"/>
          <w:lang w:val="en-AU"/>
        </w:rPr>
      </w:pPr>
      <w:r w:rsidRPr="004B1D6F">
        <w:rPr>
          <w:rFonts w:asciiTheme="majorHAnsi" w:hAnsiTheme="majorHAnsi" w:cstheme="majorHAnsi"/>
          <w:b/>
          <w:bCs/>
          <w:color w:val="000000"/>
          <w:shd w:val="clear" w:color="auto" w:fill="FFFFFF"/>
          <w:lang w:val="en-AU"/>
        </w:rPr>
        <w:t>PART 2</w:t>
      </w:r>
    </w:p>
    <w:p w14:paraId="3F9EDCE9" w14:textId="08C714EC" w:rsidR="00FA1F17" w:rsidRPr="004B1D6F" w:rsidRDefault="00D950AA" w:rsidP="008D71A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rPr>
          <w:rFonts w:asciiTheme="majorHAnsi" w:hAnsiTheme="majorHAnsi" w:cstheme="majorHAnsi"/>
          <w:b/>
          <w:bCs/>
          <w:lang w:val="en-AU"/>
        </w:rPr>
      </w:pPr>
      <w:r w:rsidRPr="004B1D6F">
        <w:rPr>
          <w:rFonts w:asciiTheme="majorHAnsi" w:hAnsiTheme="majorHAnsi" w:cstheme="majorHAnsi"/>
          <w:b/>
          <w:bCs/>
          <w:lang w:val="en-AU"/>
        </w:rPr>
        <w:t>Step 8</w:t>
      </w:r>
      <w:r w:rsidR="00F40202" w:rsidRPr="004B1D6F">
        <w:rPr>
          <w:rFonts w:asciiTheme="majorHAnsi" w:hAnsiTheme="majorHAnsi" w:cstheme="majorHAnsi"/>
          <w:b/>
          <w:bCs/>
          <w:lang w:val="en-AU"/>
        </w:rPr>
        <w:t xml:space="preserve"> (Reflection on Process and New Learning)</w:t>
      </w:r>
    </w:p>
    <w:p w14:paraId="2D64D126" w14:textId="22831456" w:rsidR="00FA1F17" w:rsidRPr="004B1D6F" w:rsidRDefault="00FA1F17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both"/>
        <w:rPr>
          <w:rFonts w:asciiTheme="majorHAnsi" w:hAnsiTheme="majorHAnsi" w:cstheme="majorHAnsi"/>
          <w:lang w:val="en-AU"/>
        </w:rPr>
      </w:pPr>
      <w:r w:rsidRPr="004B1D6F">
        <w:rPr>
          <w:rFonts w:asciiTheme="majorHAnsi" w:hAnsiTheme="majorHAnsi" w:cstheme="majorHAnsi"/>
          <w:lang w:val="en-AU"/>
        </w:rPr>
        <w:t xml:space="preserve">Traumatic brain injury is a worldwide problem that affects around 30 to 60 million people and this amounts to </w:t>
      </w:r>
      <w:r w:rsidR="00447B9D" w:rsidRPr="004B1D6F">
        <w:rPr>
          <w:rFonts w:asciiTheme="majorHAnsi" w:hAnsiTheme="majorHAnsi" w:cstheme="majorHAnsi"/>
          <w:lang w:val="en-AU"/>
        </w:rPr>
        <w:t xml:space="preserve">the </w:t>
      </w:r>
      <w:r w:rsidRPr="004B1D6F">
        <w:rPr>
          <w:rFonts w:asciiTheme="majorHAnsi" w:hAnsiTheme="majorHAnsi" w:cstheme="majorHAnsi"/>
          <w:lang w:val="en-AU"/>
        </w:rPr>
        <w:t xml:space="preserve">treatment of close to $400 billion every year. Most of Traumatic Brain Injury patients suffer from lots of pain and </w:t>
      </w:r>
      <w:r w:rsidR="00447B9D" w:rsidRPr="004B1D6F">
        <w:rPr>
          <w:rFonts w:asciiTheme="majorHAnsi" w:hAnsiTheme="majorHAnsi" w:cstheme="majorHAnsi"/>
          <w:lang w:val="en-AU"/>
        </w:rPr>
        <w:t xml:space="preserve">the </w:t>
      </w:r>
      <w:r w:rsidRPr="004B1D6F">
        <w:rPr>
          <w:rFonts w:asciiTheme="majorHAnsi" w:hAnsiTheme="majorHAnsi" w:cstheme="majorHAnsi"/>
          <w:lang w:val="en-AU"/>
        </w:rPr>
        <w:t>majority have h</w:t>
      </w:r>
      <w:r w:rsidR="00736B65" w:rsidRPr="004B1D6F">
        <w:rPr>
          <w:rFonts w:asciiTheme="majorHAnsi" w:hAnsiTheme="majorHAnsi" w:cstheme="majorHAnsi"/>
          <w:lang w:val="en-AU"/>
        </w:rPr>
        <w:t>eadaches as the main co</w:t>
      </w:r>
      <w:r w:rsidR="00100127" w:rsidRPr="004B1D6F">
        <w:rPr>
          <w:rFonts w:asciiTheme="majorHAnsi" w:hAnsiTheme="majorHAnsi" w:cstheme="majorHAnsi"/>
          <w:lang w:val="en-AU"/>
        </w:rPr>
        <w:t>n</w:t>
      </w:r>
      <w:r w:rsidR="00736B65" w:rsidRPr="004B1D6F">
        <w:rPr>
          <w:rFonts w:asciiTheme="majorHAnsi" w:hAnsiTheme="majorHAnsi" w:cstheme="majorHAnsi"/>
          <w:lang w:val="en-AU"/>
        </w:rPr>
        <w:t>dition</w:t>
      </w:r>
      <w:r w:rsidR="00100127" w:rsidRPr="004B1D6F">
        <w:rPr>
          <w:rFonts w:asciiTheme="majorHAnsi" w:hAnsiTheme="majorHAnsi" w:cstheme="majorHAnsi"/>
          <w:lang w:val="en-AU"/>
        </w:rPr>
        <w:t xml:space="preserve">. </w:t>
      </w:r>
      <w:r w:rsidR="00100127" w:rsidRPr="004B1D6F">
        <w:rPr>
          <w:rFonts w:asciiTheme="majorHAnsi" w:hAnsiTheme="majorHAnsi" w:cstheme="majorHAnsi"/>
          <w:lang w:val="en-AU"/>
        </w:rPr>
        <w:lastRenderedPageBreak/>
        <w:t>The pain comes as a result of Traumatic Brain Injury and from different damages that are from the brain injury. Therefore, patients with Traumatic Brain Injury are usually given pain treatments. However</w:t>
      </w:r>
      <w:r w:rsidR="00A056A8" w:rsidRPr="004B1D6F">
        <w:rPr>
          <w:rFonts w:asciiTheme="majorHAnsi" w:hAnsiTheme="majorHAnsi" w:cstheme="majorHAnsi"/>
          <w:lang w:val="en-AU"/>
        </w:rPr>
        <w:t>,</w:t>
      </w:r>
      <w:r w:rsidR="00100127" w:rsidRPr="004B1D6F">
        <w:rPr>
          <w:rFonts w:asciiTheme="majorHAnsi" w:hAnsiTheme="majorHAnsi" w:cstheme="majorHAnsi"/>
          <w:lang w:val="en-AU"/>
        </w:rPr>
        <w:t xml:space="preserve"> the continuous use of pain medicine is harmful</w:t>
      </w:r>
      <w:r w:rsidR="00A056A8" w:rsidRPr="004B1D6F">
        <w:rPr>
          <w:rFonts w:asciiTheme="majorHAnsi" w:hAnsiTheme="majorHAnsi" w:cstheme="majorHAnsi"/>
          <w:lang w:val="en-AU"/>
        </w:rPr>
        <w:t>,</w:t>
      </w:r>
      <w:r w:rsidR="003C3670" w:rsidRPr="004B1D6F">
        <w:rPr>
          <w:rFonts w:asciiTheme="majorHAnsi" w:hAnsiTheme="majorHAnsi" w:cstheme="majorHAnsi"/>
          <w:lang w:val="en-AU"/>
        </w:rPr>
        <w:t xml:space="preserve"> especially </w:t>
      </w:r>
      <w:r w:rsidR="00A056A8" w:rsidRPr="004B1D6F">
        <w:rPr>
          <w:rFonts w:asciiTheme="majorHAnsi" w:hAnsiTheme="majorHAnsi" w:cstheme="majorHAnsi"/>
          <w:lang w:val="en-AU"/>
        </w:rPr>
        <w:t>opioid</w:t>
      </w:r>
      <w:r w:rsidR="003C3670" w:rsidRPr="004B1D6F">
        <w:rPr>
          <w:rFonts w:asciiTheme="majorHAnsi" w:hAnsiTheme="majorHAnsi" w:cstheme="majorHAnsi"/>
          <w:lang w:val="en-AU"/>
        </w:rPr>
        <w:t xml:space="preserve"> medication. </w:t>
      </w:r>
      <w:r w:rsidR="00891CFA" w:rsidRPr="004B1D6F">
        <w:rPr>
          <w:rFonts w:asciiTheme="majorHAnsi" w:hAnsiTheme="majorHAnsi" w:cstheme="majorHAnsi"/>
          <w:lang w:val="en-AU"/>
        </w:rPr>
        <w:t xml:space="preserve">Both opioids and </w:t>
      </w:r>
      <w:r w:rsidR="00907997" w:rsidRPr="004B1D6F">
        <w:rPr>
          <w:rFonts w:asciiTheme="majorHAnsi" w:hAnsiTheme="majorHAnsi" w:cstheme="majorHAnsi"/>
          <w:lang w:val="en-AU"/>
        </w:rPr>
        <w:t>non-opioid</w:t>
      </w:r>
      <w:r w:rsidR="00891CFA" w:rsidRPr="004B1D6F">
        <w:rPr>
          <w:rFonts w:asciiTheme="majorHAnsi" w:hAnsiTheme="majorHAnsi" w:cstheme="majorHAnsi"/>
          <w:lang w:val="en-AU"/>
        </w:rPr>
        <w:t xml:space="preserve"> pain treatments are the major treatments after a person gets a Traumatic Brain Injury</w:t>
      </w:r>
      <w:r w:rsidR="00EE4796" w:rsidRPr="004B1D6F">
        <w:rPr>
          <w:rFonts w:asciiTheme="majorHAnsi" w:hAnsiTheme="majorHAnsi" w:cstheme="majorHAnsi"/>
          <w:lang w:val="en-AU"/>
        </w:rPr>
        <w:t xml:space="preserve"> (</w:t>
      </w:r>
      <w:r w:rsidR="00EE4796" w:rsidRPr="004B1D6F">
        <w:rPr>
          <w:rFonts w:asciiTheme="majorHAnsi" w:hAnsiTheme="majorHAnsi" w:cstheme="majorHAnsi"/>
          <w:color w:val="222222"/>
          <w:shd w:val="clear" w:color="auto" w:fill="FFFFFF"/>
          <w:lang w:val="en-AU"/>
        </w:rPr>
        <w:t>Molero et al., 2021)</w:t>
      </w:r>
      <w:r w:rsidR="00A056A8" w:rsidRPr="004B1D6F">
        <w:rPr>
          <w:rFonts w:asciiTheme="majorHAnsi" w:hAnsiTheme="majorHAnsi" w:cstheme="majorHAnsi"/>
          <w:lang w:val="en-AU"/>
        </w:rPr>
        <w:t xml:space="preserve">. Concurring physical damages extend the feeling of pain in such patients and </w:t>
      </w:r>
      <w:r w:rsidR="00B300FE" w:rsidRPr="00B300FE">
        <w:rPr>
          <w:rFonts w:asciiTheme="majorHAnsi" w:hAnsiTheme="majorHAnsi" w:cstheme="majorHAnsi"/>
          <w:lang w:val="en-AU"/>
        </w:rPr>
        <w:t>the patients with concurring injuries likely take</w:t>
      </w:r>
      <w:r w:rsidR="00907997" w:rsidRPr="004B1D6F">
        <w:rPr>
          <w:rFonts w:asciiTheme="majorHAnsi" w:hAnsiTheme="majorHAnsi" w:cstheme="majorHAnsi"/>
          <w:lang w:val="en-AU"/>
        </w:rPr>
        <w:t xml:space="preserve"> more of the opioid and non-opioid medications compared to the patients without the </w:t>
      </w:r>
      <w:r w:rsidR="00447B9D" w:rsidRPr="004B1D6F">
        <w:rPr>
          <w:rFonts w:asciiTheme="majorHAnsi" w:hAnsiTheme="majorHAnsi" w:cstheme="majorHAnsi"/>
          <w:lang w:val="en-AU"/>
        </w:rPr>
        <w:t>additional</w:t>
      </w:r>
      <w:r w:rsidR="00A056A8" w:rsidRPr="004B1D6F">
        <w:rPr>
          <w:rFonts w:asciiTheme="majorHAnsi" w:hAnsiTheme="majorHAnsi" w:cstheme="majorHAnsi"/>
          <w:lang w:val="en-AU"/>
        </w:rPr>
        <w:t xml:space="preserve"> </w:t>
      </w:r>
      <w:r w:rsidR="00907997" w:rsidRPr="004B1D6F">
        <w:rPr>
          <w:rFonts w:asciiTheme="majorHAnsi" w:hAnsiTheme="majorHAnsi" w:cstheme="majorHAnsi"/>
          <w:lang w:val="en-AU"/>
        </w:rPr>
        <w:t xml:space="preserve">injuries. </w:t>
      </w:r>
    </w:p>
    <w:p w14:paraId="5E9738D7" w14:textId="581F9321" w:rsidR="00FE6DDB" w:rsidRPr="004B1D6F" w:rsidRDefault="00D41D85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both"/>
        <w:rPr>
          <w:rFonts w:asciiTheme="majorHAnsi" w:hAnsiTheme="majorHAnsi" w:cstheme="majorHAnsi"/>
          <w:lang w:val="en-AU"/>
        </w:rPr>
      </w:pPr>
      <w:r w:rsidRPr="004B1D6F">
        <w:rPr>
          <w:rFonts w:asciiTheme="majorHAnsi" w:hAnsiTheme="majorHAnsi" w:cstheme="majorHAnsi"/>
          <w:lang w:val="en-AU"/>
        </w:rPr>
        <w:t xml:space="preserve">Despite opioids being helpful as medications </w:t>
      </w:r>
      <w:r w:rsidR="00B300FE">
        <w:rPr>
          <w:rFonts w:asciiTheme="majorHAnsi" w:hAnsiTheme="majorHAnsi" w:cstheme="majorHAnsi"/>
          <w:lang w:val="en-AU"/>
        </w:rPr>
        <w:t>for</w:t>
      </w:r>
      <w:r w:rsidRPr="004B1D6F">
        <w:rPr>
          <w:rFonts w:asciiTheme="majorHAnsi" w:hAnsiTheme="majorHAnsi" w:cstheme="majorHAnsi"/>
          <w:lang w:val="en-AU"/>
        </w:rPr>
        <w:t xml:space="preserve"> the severe pain that results from Traumatic Brain Injury, they are at great risk of causing accidents which would in turn increase the risks of experiencing a Traumatic Brain Injury. Patients who get their treatments from the inpatient care setting are those who have developed serious injuries whereas those in the outpatient care setting </w:t>
      </w:r>
      <w:r w:rsidR="00CB39E0" w:rsidRPr="004B1D6F">
        <w:rPr>
          <w:rFonts w:asciiTheme="majorHAnsi" w:hAnsiTheme="majorHAnsi" w:cstheme="majorHAnsi"/>
          <w:lang w:val="en-AU"/>
        </w:rPr>
        <w:t>than</w:t>
      </w:r>
      <w:r w:rsidR="008659A4" w:rsidRPr="004B1D6F">
        <w:rPr>
          <w:rFonts w:asciiTheme="majorHAnsi" w:hAnsiTheme="majorHAnsi" w:cstheme="majorHAnsi"/>
          <w:lang w:val="en-AU"/>
        </w:rPr>
        <w:t xml:space="preserve"> those </w:t>
      </w:r>
      <w:r w:rsidR="00CB39E0" w:rsidRPr="004B1D6F">
        <w:rPr>
          <w:rFonts w:asciiTheme="majorHAnsi" w:hAnsiTheme="majorHAnsi" w:cstheme="majorHAnsi"/>
          <w:lang w:val="en-AU"/>
        </w:rPr>
        <w:t xml:space="preserve">who </w:t>
      </w:r>
      <w:r w:rsidR="008659A4" w:rsidRPr="004B1D6F">
        <w:rPr>
          <w:rFonts w:asciiTheme="majorHAnsi" w:hAnsiTheme="majorHAnsi" w:cstheme="majorHAnsi"/>
          <w:lang w:val="en-AU"/>
        </w:rPr>
        <w:t>have lesser injuries. Therefore, in the inpatient setting, patients will use more opioid medications to alleviate their pain than those in the outpatient setting</w:t>
      </w:r>
      <w:r w:rsidR="00EE4796" w:rsidRPr="004B1D6F">
        <w:rPr>
          <w:rFonts w:asciiTheme="majorHAnsi" w:hAnsiTheme="majorHAnsi" w:cstheme="majorHAnsi"/>
          <w:lang w:val="en-AU"/>
        </w:rPr>
        <w:t xml:space="preserve"> (</w:t>
      </w:r>
      <w:r w:rsidR="00EE4796" w:rsidRPr="004B1D6F">
        <w:rPr>
          <w:rFonts w:asciiTheme="majorHAnsi" w:hAnsiTheme="majorHAnsi" w:cstheme="majorHAnsi"/>
          <w:color w:val="222222"/>
          <w:shd w:val="clear" w:color="auto" w:fill="FFFFFF"/>
          <w:lang w:val="en-AU"/>
        </w:rPr>
        <w:t>Molero et al., 2021)</w:t>
      </w:r>
      <w:r w:rsidR="008659A4" w:rsidRPr="004B1D6F">
        <w:rPr>
          <w:rFonts w:asciiTheme="majorHAnsi" w:hAnsiTheme="majorHAnsi" w:cstheme="majorHAnsi"/>
          <w:lang w:val="en-AU"/>
        </w:rPr>
        <w:t>. Another risk associated with the use of opioids as Traumatic Brain Injury treatment is the associated cognitive and psychological issues in</w:t>
      </w:r>
      <w:r w:rsidR="00EE4796" w:rsidRPr="004B1D6F">
        <w:rPr>
          <w:rFonts w:asciiTheme="majorHAnsi" w:hAnsiTheme="majorHAnsi" w:cstheme="majorHAnsi"/>
          <w:lang w:val="en-AU"/>
        </w:rPr>
        <w:t xml:space="preserve"> </w:t>
      </w:r>
      <w:r w:rsidR="008659A4" w:rsidRPr="004B1D6F">
        <w:rPr>
          <w:rFonts w:asciiTheme="majorHAnsi" w:hAnsiTheme="majorHAnsi" w:cstheme="majorHAnsi"/>
          <w:lang w:val="en-AU"/>
        </w:rPr>
        <w:t xml:space="preserve">those patients. </w:t>
      </w:r>
      <w:r w:rsidR="008F3CD9" w:rsidRPr="004B1D6F">
        <w:rPr>
          <w:rFonts w:asciiTheme="majorHAnsi" w:hAnsiTheme="majorHAnsi" w:cstheme="majorHAnsi"/>
          <w:lang w:val="en-AU"/>
        </w:rPr>
        <w:t xml:space="preserve">It </w:t>
      </w:r>
      <w:r w:rsidR="00EE4796" w:rsidRPr="004B1D6F">
        <w:rPr>
          <w:rFonts w:asciiTheme="majorHAnsi" w:hAnsiTheme="majorHAnsi" w:cstheme="majorHAnsi"/>
          <w:lang w:val="en-AU"/>
        </w:rPr>
        <w:t xml:space="preserve">is </w:t>
      </w:r>
      <w:r w:rsidR="008F3CD9" w:rsidRPr="004B1D6F">
        <w:rPr>
          <w:rFonts w:asciiTheme="majorHAnsi" w:hAnsiTheme="majorHAnsi" w:cstheme="majorHAnsi"/>
          <w:lang w:val="en-AU"/>
        </w:rPr>
        <w:t>therefore important that other medications are so</w:t>
      </w:r>
      <w:r w:rsidR="00BF05AF" w:rsidRPr="004B1D6F">
        <w:rPr>
          <w:rFonts w:asciiTheme="majorHAnsi" w:hAnsiTheme="majorHAnsi" w:cstheme="majorHAnsi"/>
          <w:lang w:val="en-AU"/>
        </w:rPr>
        <w:t>ught</w:t>
      </w:r>
      <w:r w:rsidR="008F3CD9" w:rsidRPr="004B1D6F">
        <w:rPr>
          <w:rFonts w:asciiTheme="majorHAnsi" w:hAnsiTheme="majorHAnsi" w:cstheme="majorHAnsi"/>
          <w:lang w:val="en-AU"/>
        </w:rPr>
        <w:t xml:space="preserve"> to help </w:t>
      </w:r>
      <w:r w:rsidR="00BF05AF" w:rsidRPr="004B1D6F">
        <w:rPr>
          <w:rFonts w:asciiTheme="majorHAnsi" w:hAnsiTheme="majorHAnsi" w:cstheme="majorHAnsi"/>
          <w:lang w:val="en-AU"/>
        </w:rPr>
        <w:t xml:space="preserve">alleviate the pain in </w:t>
      </w:r>
      <w:r w:rsidR="00EE4796" w:rsidRPr="004B1D6F">
        <w:rPr>
          <w:rFonts w:asciiTheme="majorHAnsi" w:hAnsiTheme="majorHAnsi" w:cstheme="majorHAnsi"/>
          <w:lang w:val="en-AU"/>
        </w:rPr>
        <w:t>Traumatic</w:t>
      </w:r>
      <w:r w:rsidR="00BF05AF" w:rsidRPr="004B1D6F">
        <w:rPr>
          <w:rFonts w:asciiTheme="majorHAnsi" w:hAnsiTheme="majorHAnsi" w:cstheme="majorHAnsi"/>
          <w:lang w:val="en-AU"/>
        </w:rPr>
        <w:t xml:space="preserve"> Brain Injury patients. </w:t>
      </w:r>
    </w:p>
    <w:p w14:paraId="34363080" w14:textId="3767B457" w:rsidR="00FE6DDB" w:rsidRPr="004B1D6F" w:rsidRDefault="00FE6DD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both"/>
        <w:rPr>
          <w:rFonts w:asciiTheme="majorHAnsi" w:hAnsiTheme="majorHAnsi" w:cstheme="majorHAnsi"/>
          <w:lang w:val="en-AU"/>
        </w:rPr>
      </w:pPr>
      <w:r w:rsidRPr="004B1D6F">
        <w:rPr>
          <w:rFonts w:asciiTheme="majorHAnsi" w:hAnsiTheme="majorHAnsi" w:cstheme="majorHAnsi"/>
          <w:lang w:val="en-AU"/>
        </w:rPr>
        <w:t xml:space="preserve">The management of pain for Traumatic Brain Injury patients is needed at </w:t>
      </w:r>
      <w:r w:rsidR="0012097A" w:rsidRPr="004B1D6F">
        <w:rPr>
          <w:rFonts w:asciiTheme="majorHAnsi" w:hAnsiTheme="majorHAnsi" w:cstheme="majorHAnsi"/>
          <w:lang w:val="en-AU"/>
        </w:rPr>
        <w:t xml:space="preserve">the onset of the injury. </w:t>
      </w:r>
      <w:r w:rsidR="007557A0" w:rsidRPr="004B1D6F">
        <w:rPr>
          <w:rFonts w:asciiTheme="majorHAnsi" w:hAnsiTheme="majorHAnsi" w:cstheme="majorHAnsi"/>
          <w:lang w:val="en-AU"/>
        </w:rPr>
        <w:t>This helps to sustain the ventilation and air circulation in the patients</w:t>
      </w:r>
      <w:r w:rsidR="00DB1BC0" w:rsidRPr="004B1D6F">
        <w:rPr>
          <w:rFonts w:asciiTheme="majorHAnsi" w:hAnsiTheme="majorHAnsi" w:cstheme="majorHAnsi"/>
          <w:lang w:val="en-AU"/>
        </w:rPr>
        <w:t>. From here, patients with serious injuries should be taken for further treatment</w:t>
      </w:r>
      <w:r w:rsidR="00A03799" w:rsidRPr="004B1D6F">
        <w:rPr>
          <w:rFonts w:asciiTheme="majorHAnsi" w:hAnsiTheme="majorHAnsi" w:cstheme="majorHAnsi"/>
          <w:lang w:val="en-AU"/>
        </w:rPr>
        <w:t xml:space="preserve"> in </w:t>
      </w:r>
      <w:r w:rsidR="00F07981" w:rsidRPr="004B1D6F">
        <w:rPr>
          <w:rFonts w:asciiTheme="majorHAnsi" w:hAnsiTheme="majorHAnsi" w:cstheme="majorHAnsi"/>
          <w:lang w:val="en-AU"/>
        </w:rPr>
        <w:t>healthcare</w:t>
      </w:r>
      <w:r w:rsidR="00A03799" w:rsidRPr="004B1D6F">
        <w:rPr>
          <w:rFonts w:asciiTheme="majorHAnsi" w:hAnsiTheme="majorHAnsi" w:cstheme="majorHAnsi"/>
          <w:lang w:val="en-AU"/>
        </w:rPr>
        <w:t xml:space="preserve"> </w:t>
      </w:r>
      <w:r w:rsidR="00AE6B6F" w:rsidRPr="004B1D6F">
        <w:rPr>
          <w:rFonts w:asciiTheme="majorHAnsi" w:hAnsiTheme="majorHAnsi" w:cstheme="majorHAnsi"/>
          <w:lang w:val="en-AU"/>
        </w:rPr>
        <w:t>centres</w:t>
      </w:r>
      <w:r w:rsidR="00A03799" w:rsidRPr="004B1D6F">
        <w:rPr>
          <w:rFonts w:asciiTheme="majorHAnsi" w:hAnsiTheme="majorHAnsi" w:cstheme="majorHAnsi"/>
          <w:lang w:val="en-AU"/>
        </w:rPr>
        <w:t xml:space="preserve"> with enough </w:t>
      </w:r>
      <w:r w:rsidR="007D15E5" w:rsidRPr="004B1D6F">
        <w:rPr>
          <w:rFonts w:asciiTheme="majorHAnsi" w:hAnsiTheme="majorHAnsi" w:cstheme="majorHAnsi"/>
          <w:lang w:val="en-AU"/>
        </w:rPr>
        <w:t>equipment</w:t>
      </w:r>
      <w:r w:rsidR="00F07981" w:rsidRPr="004B1D6F">
        <w:rPr>
          <w:rFonts w:asciiTheme="majorHAnsi" w:hAnsiTheme="majorHAnsi" w:cstheme="majorHAnsi"/>
          <w:lang w:val="en-AU"/>
        </w:rPr>
        <w:t xml:space="preserve"> (</w:t>
      </w:r>
      <w:r w:rsidR="00F07981" w:rsidRPr="004B1D6F">
        <w:rPr>
          <w:rFonts w:asciiTheme="majorHAnsi" w:hAnsiTheme="majorHAnsi" w:cstheme="majorHAnsi"/>
          <w:lang w:val="en-AU"/>
        </w:rPr>
        <w:t>Dash</w:t>
      </w:r>
      <w:r w:rsidR="00F07981" w:rsidRPr="004B1D6F">
        <w:rPr>
          <w:rFonts w:asciiTheme="majorHAnsi" w:hAnsiTheme="majorHAnsi" w:cstheme="majorHAnsi"/>
          <w:lang w:val="en-AU"/>
        </w:rPr>
        <w:t xml:space="preserve"> </w:t>
      </w:r>
      <w:r w:rsidR="00F07981" w:rsidRPr="004B1D6F">
        <w:rPr>
          <w:rFonts w:asciiTheme="majorHAnsi" w:hAnsiTheme="majorHAnsi" w:cstheme="majorHAnsi"/>
          <w:lang w:val="en-AU"/>
        </w:rPr>
        <w:t>&amp; Chavali,</w:t>
      </w:r>
      <w:r w:rsidR="00F07981" w:rsidRPr="004B1D6F">
        <w:rPr>
          <w:rFonts w:asciiTheme="majorHAnsi" w:hAnsiTheme="majorHAnsi" w:cstheme="majorHAnsi"/>
          <w:lang w:val="en-AU"/>
        </w:rPr>
        <w:t xml:space="preserve"> </w:t>
      </w:r>
      <w:r w:rsidR="00F07981" w:rsidRPr="004B1D6F">
        <w:rPr>
          <w:rFonts w:asciiTheme="majorHAnsi" w:hAnsiTheme="majorHAnsi" w:cstheme="majorHAnsi"/>
          <w:lang w:val="en-AU"/>
        </w:rPr>
        <w:t>2018)</w:t>
      </w:r>
      <w:r w:rsidR="00A03799" w:rsidRPr="004B1D6F">
        <w:rPr>
          <w:rFonts w:asciiTheme="majorHAnsi" w:hAnsiTheme="majorHAnsi" w:cstheme="majorHAnsi"/>
          <w:lang w:val="en-AU"/>
        </w:rPr>
        <w:t>.</w:t>
      </w:r>
      <w:r w:rsidR="007D15E5" w:rsidRPr="004B1D6F">
        <w:rPr>
          <w:rFonts w:asciiTheme="majorHAnsi" w:hAnsiTheme="majorHAnsi" w:cstheme="majorHAnsi"/>
          <w:lang w:val="en-AU"/>
        </w:rPr>
        <w:t xml:space="preserve"> The extent of injuries in Traumatic Brain </w:t>
      </w:r>
      <w:r w:rsidR="00221897" w:rsidRPr="004B1D6F">
        <w:rPr>
          <w:rFonts w:asciiTheme="majorHAnsi" w:hAnsiTheme="majorHAnsi" w:cstheme="majorHAnsi"/>
          <w:lang w:val="en-AU"/>
        </w:rPr>
        <w:t>Injury</w:t>
      </w:r>
      <w:r w:rsidR="007D15E5" w:rsidRPr="004B1D6F">
        <w:rPr>
          <w:rFonts w:asciiTheme="majorHAnsi" w:hAnsiTheme="majorHAnsi" w:cstheme="majorHAnsi"/>
          <w:lang w:val="en-AU"/>
        </w:rPr>
        <w:t xml:space="preserve"> patients can be increased at the initial stage through the movement of the patient from </w:t>
      </w:r>
      <w:r w:rsidR="00221897" w:rsidRPr="004B1D6F">
        <w:rPr>
          <w:rFonts w:asciiTheme="majorHAnsi" w:hAnsiTheme="majorHAnsi" w:cstheme="majorHAnsi"/>
          <w:lang w:val="en-AU"/>
        </w:rPr>
        <w:t>one</w:t>
      </w:r>
      <w:r w:rsidR="007D15E5" w:rsidRPr="004B1D6F">
        <w:rPr>
          <w:rFonts w:asciiTheme="majorHAnsi" w:hAnsiTheme="majorHAnsi" w:cstheme="majorHAnsi"/>
          <w:lang w:val="en-AU"/>
        </w:rPr>
        <w:t xml:space="preserve"> place to another,</w:t>
      </w:r>
      <w:r w:rsidR="00221897" w:rsidRPr="004B1D6F">
        <w:rPr>
          <w:rFonts w:asciiTheme="majorHAnsi" w:hAnsiTheme="majorHAnsi" w:cstheme="majorHAnsi"/>
          <w:lang w:val="en-AU"/>
        </w:rPr>
        <w:t xml:space="preserve"> </w:t>
      </w:r>
      <w:r w:rsidR="00AB4BA1" w:rsidRPr="004B1D6F">
        <w:rPr>
          <w:rFonts w:asciiTheme="majorHAnsi" w:hAnsiTheme="majorHAnsi" w:cstheme="majorHAnsi"/>
          <w:lang w:val="en-AU"/>
        </w:rPr>
        <w:t xml:space="preserve">the </w:t>
      </w:r>
      <w:r w:rsidR="00221897" w:rsidRPr="004B1D6F">
        <w:rPr>
          <w:rFonts w:asciiTheme="majorHAnsi" w:hAnsiTheme="majorHAnsi" w:cstheme="majorHAnsi"/>
          <w:lang w:val="en-AU"/>
        </w:rPr>
        <w:t xml:space="preserve">time </w:t>
      </w:r>
      <w:r w:rsidR="00B300FE">
        <w:rPr>
          <w:rFonts w:asciiTheme="majorHAnsi" w:hAnsiTheme="majorHAnsi" w:cstheme="majorHAnsi"/>
          <w:lang w:val="en-AU"/>
        </w:rPr>
        <w:t>taken</w:t>
      </w:r>
      <w:r w:rsidR="00F07981" w:rsidRPr="004B1D6F">
        <w:rPr>
          <w:rFonts w:asciiTheme="majorHAnsi" w:hAnsiTheme="majorHAnsi" w:cstheme="majorHAnsi"/>
          <w:lang w:val="en-AU"/>
        </w:rPr>
        <w:t xml:space="preserve"> to </w:t>
      </w:r>
      <w:r w:rsidR="00221897" w:rsidRPr="004B1D6F">
        <w:rPr>
          <w:rFonts w:asciiTheme="majorHAnsi" w:hAnsiTheme="majorHAnsi" w:cstheme="majorHAnsi"/>
          <w:lang w:val="en-AU"/>
        </w:rPr>
        <w:t>mov</w:t>
      </w:r>
      <w:r w:rsidR="00F07981" w:rsidRPr="004B1D6F">
        <w:rPr>
          <w:rFonts w:asciiTheme="majorHAnsi" w:hAnsiTheme="majorHAnsi" w:cstheme="majorHAnsi"/>
          <w:lang w:val="en-AU"/>
        </w:rPr>
        <w:t>e the patient</w:t>
      </w:r>
      <w:r w:rsidR="00221897" w:rsidRPr="004B1D6F">
        <w:rPr>
          <w:rFonts w:asciiTheme="majorHAnsi" w:hAnsiTheme="majorHAnsi" w:cstheme="majorHAnsi"/>
          <w:lang w:val="en-AU"/>
        </w:rPr>
        <w:t>, and whether the emergency team has a professional leader.</w:t>
      </w:r>
    </w:p>
    <w:p w14:paraId="68EE8F8E" w14:textId="3A708ECD" w:rsidR="002E402B" w:rsidRPr="004B1D6F" w:rsidRDefault="00F07981" w:rsidP="00A245DB">
      <w:pPr>
        <w:pStyle w:val="halfrhythm"/>
        <w:shd w:val="clear" w:color="auto" w:fill="FFFFFF"/>
        <w:spacing w:before="166" w:after="166" w:line="360" w:lineRule="auto"/>
        <w:ind w:firstLine="720"/>
        <w:jc w:val="both"/>
        <w:rPr>
          <w:rFonts w:asciiTheme="majorHAnsi" w:hAnsiTheme="majorHAnsi" w:cstheme="majorHAnsi"/>
          <w:lang w:val="en-AU"/>
        </w:rPr>
      </w:pPr>
      <w:r w:rsidRPr="004B1D6F">
        <w:rPr>
          <w:rFonts w:asciiTheme="majorHAnsi" w:hAnsiTheme="majorHAnsi" w:cstheme="majorHAnsi"/>
          <w:lang w:val="en-AU"/>
        </w:rPr>
        <w:t>C</w:t>
      </w:r>
      <w:r w:rsidRPr="004B1D6F">
        <w:rPr>
          <w:rFonts w:asciiTheme="majorHAnsi" w:hAnsiTheme="majorHAnsi" w:cstheme="majorHAnsi"/>
          <w:lang w:val="en-AU"/>
        </w:rPr>
        <w:t>ulturally safe, age-appropriate strategies for promoting health</w:t>
      </w:r>
      <w:r w:rsidR="00AB4BA1" w:rsidRPr="004B1D6F">
        <w:rPr>
          <w:rFonts w:asciiTheme="majorHAnsi" w:hAnsiTheme="majorHAnsi" w:cstheme="majorHAnsi"/>
          <w:lang w:val="en-AU"/>
        </w:rPr>
        <w:t xml:space="preserve"> </w:t>
      </w:r>
      <w:r w:rsidRPr="004B1D6F">
        <w:rPr>
          <w:rFonts w:asciiTheme="majorHAnsi" w:hAnsiTheme="majorHAnsi" w:cstheme="majorHAnsi"/>
          <w:lang w:val="en-AU"/>
        </w:rPr>
        <w:t>and wellness</w:t>
      </w:r>
      <w:r w:rsidR="00D70817" w:rsidRPr="004B1D6F">
        <w:rPr>
          <w:rFonts w:asciiTheme="majorHAnsi" w:hAnsiTheme="majorHAnsi" w:cstheme="majorHAnsi"/>
          <w:lang w:val="en-AU"/>
        </w:rPr>
        <w:t xml:space="preserve"> are important are</w:t>
      </w:r>
      <w:r w:rsidR="008260A2" w:rsidRPr="004B1D6F">
        <w:rPr>
          <w:rFonts w:asciiTheme="majorHAnsi" w:hAnsiTheme="majorHAnsi" w:cstheme="majorHAnsi"/>
          <w:lang w:val="en-AU"/>
        </w:rPr>
        <w:t>as in</w:t>
      </w:r>
      <w:r w:rsidR="00D70817" w:rsidRPr="004B1D6F">
        <w:rPr>
          <w:rFonts w:asciiTheme="majorHAnsi" w:hAnsiTheme="majorHAnsi" w:cstheme="majorHAnsi"/>
          <w:lang w:val="en-AU"/>
        </w:rPr>
        <w:t xml:space="preserve"> </w:t>
      </w:r>
      <w:r w:rsidR="008260A2" w:rsidRPr="004B1D6F">
        <w:rPr>
          <w:rFonts w:asciiTheme="majorHAnsi" w:hAnsiTheme="majorHAnsi" w:cstheme="majorHAnsi"/>
          <w:lang w:val="en-AU"/>
        </w:rPr>
        <w:t>promoting</w:t>
      </w:r>
      <w:r w:rsidR="00D70817" w:rsidRPr="004B1D6F">
        <w:rPr>
          <w:rFonts w:asciiTheme="majorHAnsi" w:hAnsiTheme="majorHAnsi" w:cstheme="majorHAnsi"/>
          <w:lang w:val="en-AU"/>
        </w:rPr>
        <w:t xml:space="preserve"> good health and </w:t>
      </w:r>
      <w:r w:rsidR="002E402B" w:rsidRPr="004B1D6F">
        <w:rPr>
          <w:rFonts w:asciiTheme="majorHAnsi" w:hAnsiTheme="majorHAnsi" w:cstheme="majorHAnsi"/>
          <w:lang w:val="en-AU"/>
        </w:rPr>
        <w:t>ensuring</w:t>
      </w:r>
      <w:r w:rsidR="00D70817" w:rsidRPr="004B1D6F">
        <w:rPr>
          <w:rFonts w:asciiTheme="majorHAnsi" w:hAnsiTheme="majorHAnsi" w:cstheme="majorHAnsi"/>
          <w:lang w:val="en-AU"/>
        </w:rPr>
        <w:t xml:space="preserve"> that there </w:t>
      </w:r>
      <w:r w:rsidR="00B300FE">
        <w:rPr>
          <w:rFonts w:asciiTheme="majorHAnsi" w:hAnsiTheme="majorHAnsi" w:cstheme="majorHAnsi"/>
          <w:lang w:val="en-AU"/>
        </w:rPr>
        <w:t>are</w:t>
      </w:r>
      <w:r w:rsidR="00D70817" w:rsidRPr="004B1D6F">
        <w:rPr>
          <w:rFonts w:asciiTheme="majorHAnsi" w:hAnsiTheme="majorHAnsi" w:cstheme="majorHAnsi"/>
          <w:lang w:val="en-AU"/>
        </w:rPr>
        <w:t xml:space="preserve"> social justice and </w:t>
      </w:r>
      <w:r w:rsidR="008260A2" w:rsidRPr="004B1D6F">
        <w:rPr>
          <w:rFonts w:asciiTheme="majorHAnsi" w:hAnsiTheme="majorHAnsi" w:cstheme="majorHAnsi"/>
          <w:lang w:val="en-AU"/>
        </w:rPr>
        <w:t>healthcare</w:t>
      </w:r>
      <w:r w:rsidR="00D70817" w:rsidRPr="004B1D6F">
        <w:rPr>
          <w:rFonts w:asciiTheme="majorHAnsi" w:hAnsiTheme="majorHAnsi" w:cstheme="majorHAnsi"/>
          <w:lang w:val="en-AU"/>
        </w:rPr>
        <w:t xml:space="preserve"> procedures that pro</w:t>
      </w:r>
      <w:r w:rsidR="0004153B" w:rsidRPr="004B1D6F">
        <w:rPr>
          <w:rFonts w:asciiTheme="majorHAnsi" w:hAnsiTheme="majorHAnsi" w:cstheme="majorHAnsi"/>
          <w:lang w:val="en-AU"/>
        </w:rPr>
        <w:t xml:space="preserve">mote independence and freedom thereby lowering health inequality. </w:t>
      </w:r>
      <w:r w:rsidR="009009C5" w:rsidRPr="004B1D6F">
        <w:rPr>
          <w:rFonts w:asciiTheme="majorHAnsi" w:hAnsiTheme="majorHAnsi" w:cstheme="majorHAnsi"/>
          <w:lang w:val="en-AU"/>
        </w:rPr>
        <w:t>Better c</w:t>
      </w:r>
      <w:r w:rsidR="0004153B" w:rsidRPr="004B1D6F">
        <w:rPr>
          <w:rFonts w:asciiTheme="majorHAnsi" w:hAnsiTheme="majorHAnsi" w:cstheme="majorHAnsi"/>
          <w:lang w:val="en-AU"/>
        </w:rPr>
        <w:t>ulturally safe st</w:t>
      </w:r>
      <w:r w:rsidR="009009C5" w:rsidRPr="004B1D6F">
        <w:rPr>
          <w:rFonts w:asciiTheme="majorHAnsi" w:hAnsiTheme="majorHAnsi" w:cstheme="majorHAnsi"/>
          <w:lang w:val="en-AU"/>
        </w:rPr>
        <w:t xml:space="preserve">rategies of assessments build up the evidence base of the projects that </w:t>
      </w:r>
      <w:r w:rsidR="008260A2" w:rsidRPr="004B1D6F">
        <w:rPr>
          <w:rFonts w:asciiTheme="majorHAnsi" w:hAnsiTheme="majorHAnsi" w:cstheme="majorHAnsi"/>
          <w:lang w:val="en-AU"/>
        </w:rPr>
        <w:t>are best in closing the gap</w:t>
      </w:r>
      <w:r w:rsidR="001C0680" w:rsidRPr="004B1D6F">
        <w:rPr>
          <w:rFonts w:asciiTheme="majorHAnsi" w:hAnsiTheme="majorHAnsi" w:cstheme="majorHAnsi"/>
          <w:lang w:val="en-AU"/>
        </w:rPr>
        <w:t xml:space="preserve"> (</w:t>
      </w:r>
      <w:r w:rsidR="001C0680" w:rsidRPr="004B1D6F">
        <w:rPr>
          <w:rFonts w:asciiTheme="majorHAnsi" w:hAnsiTheme="majorHAnsi" w:cstheme="majorHAnsi"/>
        </w:rPr>
        <w:t>Cargo</w:t>
      </w:r>
      <w:r w:rsidR="001C0680" w:rsidRPr="004B1D6F">
        <w:rPr>
          <w:rFonts w:asciiTheme="majorHAnsi" w:hAnsiTheme="majorHAnsi" w:cstheme="majorHAnsi"/>
        </w:rPr>
        <w:t xml:space="preserve"> et al., 2019)</w:t>
      </w:r>
      <w:r w:rsidR="008260A2" w:rsidRPr="004B1D6F">
        <w:rPr>
          <w:rFonts w:asciiTheme="majorHAnsi" w:hAnsiTheme="majorHAnsi" w:cstheme="majorHAnsi"/>
          <w:lang w:val="en-AU"/>
        </w:rPr>
        <w:t>. There is a 12-cluster concept</w:t>
      </w:r>
      <w:r w:rsidR="002E402B" w:rsidRPr="004B1D6F">
        <w:rPr>
          <w:rFonts w:asciiTheme="majorHAnsi" w:hAnsiTheme="majorHAnsi" w:cstheme="majorHAnsi"/>
          <w:lang w:val="en-AU"/>
        </w:rPr>
        <w:t xml:space="preserve"> </w:t>
      </w:r>
      <w:r w:rsidR="008260A2" w:rsidRPr="004B1D6F">
        <w:rPr>
          <w:rFonts w:asciiTheme="majorHAnsi" w:hAnsiTheme="majorHAnsi" w:cstheme="majorHAnsi"/>
          <w:lang w:val="en-AU"/>
        </w:rPr>
        <w:t>that helps in giving different perceptions in the assessment practice to help foreign individuals in Australia.</w:t>
      </w:r>
      <w:r w:rsidR="005245C2" w:rsidRPr="004B1D6F">
        <w:rPr>
          <w:rFonts w:asciiTheme="majorHAnsi" w:hAnsiTheme="majorHAnsi" w:cstheme="majorHAnsi"/>
          <w:lang w:val="en-AU"/>
        </w:rPr>
        <w:t xml:space="preserve"> An assessment </w:t>
      </w:r>
      <w:r w:rsidR="005245C2" w:rsidRPr="004B1D6F">
        <w:rPr>
          <w:rFonts w:asciiTheme="majorHAnsi" w:hAnsiTheme="majorHAnsi" w:cstheme="majorHAnsi"/>
          <w:lang w:val="en-AU"/>
        </w:rPr>
        <w:lastRenderedPageBreak/>
        <w:t>should have cultural integrity that has to look at the strength of the evaluation team</w:t>
      </w:r>
      <w:r w:rsidR="00E84B37" w:rsidRPr="004B1D6F">
        <w:rPr>
          <w:rFonts w:asciiTheme="majorHAnsi" w:hAnsiTheme="majorHAnsi" w:cstheme="majorHAnsi"/>
          <w:lang w:val="en-AU"/>
        </w:rPr>
        <w:t xml:space="preserve"> in addition to the foreign people and experts of the community. </w:t>
      </w:r>
      <w:r w:rsidR="00B52F42" w:rsidRPr="004B1D6F">
        <w:rPr>
          <w:rFonts w:asciiTheme="majorHAnsi" w:hAnsiTheme="majorHAnsi" w:cstheme="majorHAnsi"/>
          <w:lang w:val="en-AU"/>
        </w:rPr>
        <w:t xml:space="preserve">Including foreign experts in the team makes the </w:t>
      </w:r>
      <w:r w:rsidR="001A325D" w:rsidRPr="004B1D6F">
        <w:rPr>
          <w:rFonts w:asciiTheme="majorHAnsi" w:hAnsiTheme="majorHAnsi" w:cstheme="majorHAnsi"/>
          <w:lang w:val="en-AU"/>
        </w:rPr>
        <w:t xml:space="preserve">local </w:t>
      </w:r>
      <w:r w:rsidR="00B52F42" w:rsidRPr="004B1D6F">
        <w:rPr>
          <w:rFonts w:asciiTheme="majorHAnsi" w:hAnsiTheme="majorHAnsi" w:cstheme="majorHAnsi"/>
          <w:lang w:val="en-AU"/>
        </w:rPr>
        <w:t xml:space="preserve">citizens respect the different cultures by learning about </w:t>
      </w:r>
      <w:r w:rsidR="002E402B" w:rsidRPr="004B1D6F">
        <w:rPr>
          <w:rFonts w:asciiTheme="majorHAnsi" w:hAnsiTheme="majorHAnsi" w:cstheme="majorHAnsi"/>
          <w:lang w:val="en-AU"/>
        </w:rPr>
        <w:t>them</w:t>
      </w:r>
      <w:r w:rsidR="00B52F42" w:rsidRPr="004B1D6F">
        <w:rPr>
          <w:rFonts w:asciiTheme="majorHAnsi" w:hAnsiTheme="majorHAnsi" w:cstheme="majorHAnsi"/>
          <w:lang w:val="en-AU"/>
        </w:rPr>
        <w:t xml:space="preserve"> and practicing some aspects</w:t>
      </w:r>
      <w:r w:rsidR="001C0680" w:rsidRPr="004B1D6F">
        <w:rPr>
          <w:rFonts w:asciiTheme="majorHAnsi" w:hAnsiTheme="majorHAnsi" w:cstheme="majorHAnsi"/>
          <w:lang w:val="en-AU"/>
        </w:rPr>
        <w:t xml:space="preserve"> </w:t>
      </w:r>
      <w:r w:rsidR="001C0680" w:rsidRPr="004B1D6F">
        <w:rPr>
          <w:rFonts w:asciiTheme="majorHAnsi" w:hAnsiTheme="majorHAnsi" w:cstheme="majorHAnsi"/>
          <w:lang w:val="en-AU"/>
        </w:rPr>
        <w:t>(</w:t>
      </w:r>
      <w:r w:rsidR="001C0680" w:rsidRPr="004B1D6F">
        <w:rPr>
          <w:rFonts w:asciiTheme="majorHAnsi" w:hAnsiTheme="majorHAnsi" w:cstheme="majorHAnsi"/>
        </w:rPr>
        <w:t>Cargo et al., 2019)</w:t>
      </w:r>
      <w:r w:rsidR="00B52F42" w:rsidRPr="004B1D6F">
        <w:rPr>
          <w:rFonts w:asciiTheme="majorHAnsi" w:hAnsiTheme="majorHAnsi" w:cstheme="majorHAnsi"/>
          <w:lang w:val="en-AU"/>
        </w:rPr>
        <w:t>.</w:t>
      </w:r>
      <w:r w:rsidR="001A325D" w:rsidRPr="004B1D6F">
        <w:rPr>
          <w:rFonts w:asciiTheme="majorHAnsi" w:hAnsiTheme="majorHAnsi" w:cstheme="majorHAnsi"/>
          <w:lang w:val="en-AU"/>
        </w:rPr>
        <w:t xml:space="preserve"> There is a connection between foreign culture, global view</w:t>
      </w:r>
      <w:r w:rsidR="002E402B" w:rsidRPr="004B1D6F">
        <w:rPr>
          <w:rFonts w:asciiTheme="majorHAnsi" w:hAnsiTheme="majorHAnsi" w:cstheme="majorHAnsi"/>
          <w:lang w:val="en-AU"/>
        </w:rPr>
        <w:t>,</w:t>
      </w:r>
      <w:r w:rsidR="001A325D" w:rsidRPr="004B1D6F">
        <w:rPr>
          <w:rFonts w:asciiTheme="majorHAnsi" w:hAnsiTheme="majorHAnsi" w:cstheme="majorHAnsi"/>
          <w:lang w:val="en-AU"/>
        </w:rPr>
        <w:t xml:space="preserve"> and </w:t>
      </w:r>
      <w:r w:rsidR="009554DD" w:rsidRPr="004B1D6F">
        <w:rPr>
          <w:rFonts w:asciiTheme="majorHAnsi" w:hAnsiTheme="majorHAnsi" w:cstheme="majorHAnsi"/>
          <w:lang w:val="en-AU"/>
        </w:rPr>
        <w:t xml:space="preserve">customary language </w:t>
      </w:r>
      <w:r w:rsidR="002E402B" w:rsidRPr="004B1D6F">
        <w:rPr>
          <w:rFonts w:asciiTheme="majorHAnsi" w:hAnsiTheme="majorHAnsi" w:cstheme="majorHAnsi"/>
          <w:lang w:val="en-AU"/>
        </w:rPr>
        <w:t>that makes it useful to have internal foreign specialists to help operate and address the assessments with foreign communities.</w:t>
      </w:r>
    </w:p>
    <w:p w14:paraId="0A8BC0AC" w14:textId="1AAA8B8E" w:rsidR="00797FBC" w:rsidRPr="004B1D6F" w:rsidRDefault="002E402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both"/>
        <w:rPr>
          <w:rFonts w:asciiTheme="majorHAnsi" w:hAnsiTheme="majorHAnsi" w:cstheme="majorHAnsi"/>
          <w:lang w:val="en-AU"/>
        </w:rPr>
      </w:pPr>
      <w:r w:rsidRPr="004B1D6F">
        <w:rPr>
          <w:rFonts w:asciiTheme="majorHAnsi" w:hAnsiTheme="majorHAnsi" w:cstheme="majorHAnsi"/>
          <w:lang w:val="en-AU"/>
        </w:rPr>
        <w:t xml:space="preserve">Healthcare providers play an important role in ensuring that patients have a quality life. Registered nurse act as relationship builders </w:t>
      </w:r>
      <w:r w:rsidR="00D057C3" w:rsidRPr="004B1D6F">
        <w:rPr>
          <w:rFonts w:asciiTheme="majorHAnsi" w:hAnsiTheme="majorHAnsi" w:cstheme="majorHAnsi"/>
          <w:lang w:val="en-AU"/>
        </w:rPr>
        <w:t xml:space="preserve">who have a responsibility of providing care and integrating public health and primary care. </w:t>
      </w:r>
      <w:r w:rsidR="00B300FE">
        <w:rPr>
          <w:rFonts w:asciiTheme="majorHAnsi" w:hAnsiTheme="majorHAnsi" w:cstheme="majorHAnsi"/>
          <w:lang w:val="en-AU"/>
        </w:rPr>
        <w:t>Registered</w:t>
      </w:r>
      <w:r w:rsidR="00F772C3" w:rsidRPr="004B1D6F">
        <w:rPr>
          <w:rFonts w:asciiTheme="majorHAnsi" w:hAnsiTheme="majorHAnsi" w:cstheme="majorHAnsi"/>
          <w:lang w:val="en-AU"/>
        </w:rPr>
        <w:t xml:space="preserve"> nurses work together with other healthcare specialists and therefore they have a communication role because of the numerous interaction they have with different people. Another role is that of being care </w:t>
      </w:r>
      <w:r w:rsidR="00B300FE">
        <w:rPr>
          <w:rFonts w:asciiTheme="majorHAnsi" w:hAnsiTheme="majorHAnsi" w:cstheme="majorHAnsi"/>
          <w:lang w:val="en-AU"/>
        </w:rPr>
        <w:t>coordinator</w:t>
      </w:r>
      <w:r w:rsidR="001C0680" w:rsidRPr="004B1D6F">
        <w:rPr>
          <w:rFonts w:asciiTheme="majorHAnsi" w:hAnsiTheme="majorHAnsi" w:cstheme="majorHAnsi"/>
          <w:lang w:val="en-AU"/>
        </w:rPr>
        <w:t xml:space="preserve"> (</w:t>
      </w:r>
      <w:r w:rsidR="001C0680" w:rsidRPr="004B1D6F">
        <w:rPr>
          <w:rFonts w:asciiTheme="majorHAnsi" w:hAnsiTheme="majorHAnsi" w:cstheme="majorHAnsi"/>
          <w:color w:val="222222"/>
          <w:shd w:val="clear" w:color="auto" w:fill="FFFFFF"/>
        </w:rPr>
        <w:t>Swanson</w:t>
      </w:r>
      <w:r w:rsidR="001C0680" w:rsidRPr="004B1D6F">
        <w:rPr>
          <w:rFonts w:asciiTheme="majorHAnsi" w:hAnsiTheme="majorHAnsi" w:cstheme="majorHAnsi"/>
          <w:color w:val="222222"/>
          <w:shd w:val="clear" w:color="auto" w:fill="FFFFFF"/>
        </w:rPr>
        <w:t xml:space="preserve"> et al., 2020)</w:t>
      </w:r>
      <w:r w:rsidR="00F772C3" w:rsidRPr="004B1D6F">
        <w:rPr>
          <w:rFonts w:asciiTheme="majorHAnsi" w:hAnsiTheme="majorHAnsi" w:cstheme="majorHAnsi"/>
          <w:lang w:val="en-AU"/>
        </w:rPr>
        <w:t>. The nurses have a personal role in providing care to different patients including those who come from vulnerable families and those with acute illnesses</w:t>
      </w:r>
      <w:r w:rsidR="00012ACF" w:rsidRPr="004B1D6F">
        <w:rPr>
          <w:rFonts w:asciiTheme="majorHAnsi" w:hAnsiTheme="majorHAnsi" w:cstheme="majorHAnsi"/>
          <w:lang w:val="en-AU"/>
        </w:rPr>
        <w:t xml:space="preserve">. Therefore, registered nurses </w:t>
      </w:r>
      <w:r w:rsidR="00396931" w:rsidRPr="004B1D6F">
        <w:rPr>
          <w:rFonts w:asciiTheme="majorHAnsi" w:hAnsiTheme="majorHAnsi" w:cstheme="majorHAnsi"/>
          <w:lang w:val="en-AU"/>
        </w:rPr>
        <w:t xml:space="preserve">incorporate care between the healthcare facility and the community, </w:t>
      </w:r>
      <w:r w:rsidR="00B300FE">
        <w:rPr>
          <w:rFonts w:asciiTheme="majorHAnsi" w:hAnsiTheme="majorHAnsi" w:cstheme="majorHAnsi"/>
          <w:lang w:val="en-AU"/>
        </w:rPr>
        <w:t xml:space="preserve">and </w:t>
      </w:r>
      <w:r w:rsidR="00396931" w:rsidRPr="004B1D6F">
        <w:rPr>
          <w:rFonts w:asciiTheme="majorHAnsi" w:hAnsiTheme="majorHAnsi" w:cstheme="majorHAnsi"/>
          <w:lang w:val="en-AU"/>
        </w:rPr>
        <w:t>have groups that help in the management of acute diseases and maternal care.</w:t>
      </w:r>
      <w:r w:rsidR="00AB4BA1" w:rsidRPr="004B1D6F">
        <w:rPr>
          <w:rFonts w:asciiTheme="majorHAnsi" w:hAnsiTheme="majorHAnsi" w:cstheme="majorHAnsi"/>
          <w:lang w:val="en-AU"/>
        </w:rPr>
        <w:t xml:space="preserve"> Registered nurses are also outreach professionals and this boost the access of patients to primary care</w:t>
      </w:r>
      <w:r w:rsidR="001C0680" w:rsidRPr="004B1D6F">
        <w:rPr>
          <w:rFonts w:asciiTheme="majorHAnsi" w:hAnsiTheme="majorHAnsi" w:cstheme="majorHAnsi"/>
          <w:lang w:val="en-AU"/>
        </w:rPr>
        <w:t xml:space="preserve"> </w:t>
      </w:r>
      <w:r w:rsidR="001C0680" w:rsidRPr="004B1D6F">
        <w:rPr>
          <w:rFonts w:asciiTheme="majorHAnsi" w:hAnsiTheme="majorHAnsi" w:cstheme="majorHAnsi"/>
          <w:lang w:val="en-AU"/>
        </w:rPr>
        <w:t>(</w:t>
      </w:r>
      <w:r w:rsidR="001C0680" w:rsidRPr="004B1D6F">
        <w:rPr>
          <w:rFonts w:asciiTheme="majorHAnsi" w:hAnsiTheme="majorHAnsi" w:cstheme="majorHAnsi"/>
          <w:color w:val="222222"/>
          <w:shd w:val="clear" w:color="auto" w:fill="FFFFFF"/>
        </w:rPr>
        <w:t>Swanson et al., 2020)</w:t>
      </w:r>
      <w:r w:rsidR="00AB4BA1" w:rsidRPr="004B1D6F">
        <w:rPr>
          <w:rFonts w:asciiTheme="majorHAnsi" w:hAnsiTheme="majorHAnsi" w:cstheme="majorHAnsi"/>
          <w:lang w:val="en-AU"/>
        </w:rPr>
        <w:t>.</w:t>
      </w:r>
      <w:r w:rsidR="00AC578F" w:rsidRPr="004B1D6F">
        <w:rPr>
          <w:rFonts w:asciiTheme="majorHAnsi" w:hAnsiTheme="majorHAnsi" w:cstheme="majorHAnsi"/>
          <w:lang w:val="en-AU"/>
        </w:rPr>
        <w:t xml:space="preserve"> Additionally, registered nurses play a role in the prevention of acute diseases and obesity</w:t>
      </w:r>
      <w:r w:rsidR="00BF22CF" w:rsidRPr="004B1D6F">
        <w:rPr>
          <w:rFonts w:asciiTheme="majorHAnsi" w:hAnsiTheme="majorHAnsi" w:cstheme="majorHAnsi"/>
          <w:lang w:val="en-AU"/>
        </w:rPr>
        <w:t xml:space="preserve">, supporting services </w:t>
      </w:r>
      <w:r w:rsidR="00BF22CF" w:rsidRPr="004B1D6F">
        <w:rPr>
          <w:rFonts w:asciiTheme="majorHAnsi" w:hAnsiTheme="majorHAnsi" w:cstheme="majorHAnsi"/>
          <w:lang w:val="en-AU"/>
        </w:rPr>
        <w:t xml:space="preserve">and care </w:t>
      </w:r>
      <w:r w:rsidR="00BF22CF" w:rsidRPr="004B1D6F">
        <w:rPr>
          <w:rFonts w:asciiTheme="majorHAnsi" w:hAnsiTheme="majorHAnsi" w:cstheme="majorHAnsi"/>
          <w:lang w:val="en-AU"/>
        </w:rPr>
        <w:t xml:space="preserve">programs in society through their outreach role. </w:t>
      </w:r>
    </w:p>
    <w:p w14:paraId="3D35F528" w14:textId="2C87832B" w:rsidR="002E402B" w:rsidRPr="004B1D6F" w:rsidRDefault="00797FBC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both"/>
        <w:rPr>
          <w:rFonts w:asciiTheme="majorHAnsi" w:hAnsiTheme="majorHAnsi" w:cstheme="majorHAnsi"/>
          <w:lang w:val="en-AU"/>
        </w:rPr>
      </w:pPr>
      <w:r w:rsidRPr="004B1D6F">
        <w:rPr>
          <w:rFonts w:asciiTheme="majorHAnsi" w:hAnsiTheme="majorHAnsi" w:cstheme="majorHAnsi"/>
          <w:lang w:val="en-AU"/>
        </w:rPr>
        <w:t xml:space="preserve">While registered nurses perform their roles they should consider </w:t>
      </w:r>
      <w:r w:rsidR="004A68DA" w:rsidRPr="004B1D6F">
        <w:rPr>
          <w:rFonts w:asciiTheme="majorHAnsi" w:hAnsiTheme="majorHAnsi" w:cstheme="majorHAnsi"/>
          <w:lang w:val="en-AU"/>
        </w:rPr>
        <w:t>patients’</w:t>
      </w:r>
      <w:r w:rsidRPr="004B1D6F">
        <w:rPr>
          <w:rFonts w:asciiTheme="majorHAnsi" w:hAnsiTheme="majorHAnsi" w:cstheme="majorHAnsi"/>
          <w:lang w:val="en-AU"/>
        </w:rPr>
        <w:t xml:space="preserve"> safety and ensure no further damage is done to them</w:t>
      </w:r>
      <w:r w:rsidR="004A68DA" w:rsidRPr="004B1D6F">
        <w:rPr>
          <w:rFonts w:asciiTheme="majorHAnsi" w:hAnsiTheme="majorHAnsi" w:cstheme="majorHAnsi"/>
          <w:lang w:val="en-AU"/>
        </w:rPr>
        <w:t xml:space="preserve">. World Health Organization outlines the probability of patients being injured as they receive medical services as 1 over 300 and the probability of </w:t>
      </w:r>
      <w:r w:rsidR="006246A2" w:rsidRPr="004B1D6F">
        <w:rPr>
          <w:rFonts w:asciiTheme="majorHAnsi" w:hAnsiTheme="majorHAnsi" w:cstheme="majorHAnsi"/>
          <w:lang w:val="en-AU"/>
        </w:rPr>
        <w:t>aircraft</w:t>
      </w:r>
      <w:r w:rsidR="004A68DA" w:rsidRPr="004B1D6F">
        <w:rPr>
          <w:rFonts w:asciiTheme="majorHAnsi" w:hAnsiTheme="majorHAnsi" w:cstheme="majorHAnsi"/>
          <w:lang w:val="en-AU"/>
        </w:rPr>
        <w:t xml:space="preserve"> accidents as 1 over 100,000. In the provision of health care, registered nurses should </w:t>
      </w:r>
      <w:r w:rsidR="00F62565" w:rsidRPr="004B1D6F">
        <w:rPr>
          <w:rFonts w:asciiTheme="majorHAnsi" w:hAnsiTheme="majorHAnsi" w:cstheme="majorHAnsi"/>
          <w:lang w:val="en-AU"/>
        </w:rPr>
        <w:t>focus on the ethical perspective</w:t>
      </w:r>
      <w:r w:rsidR="001C0680" w:rsidRPr="004B1D6F">
        <w:rPr>
          <w:rFonts w:asciiTheme="majorHAnsi" w:hAnsiTheme="majorHAnsi" w:cstheme="majorHAnsi"/>
          <w:lang w:val="en-AU"/>
        </w:rPr>
        <w:t xml:space="preserve"> (</w:t>
      </w:r>
      <w:r w:rsidR="001C0680" w:rsidRPr="004B1D6F">
        <w:rPr>
          <w:rFonts w:asciiTheme="majorHAnsi" w:hAnsiTheme="majorHAnsi" w:cstheme="majorHAnsi"/>
          <w:color w:val="222222"/>
          <w:shd w:val="clear" w:color="auto" w:fill="FFFFFF"/>
        </w:rPr>
        <w:t>Kadivar</w:t>
      </w:r>
      <w:r w:rsidR="001C0680" w:rsidRPr="004B1D6F">
        <w:rPr>
          <w:rFonts w:asciiTheme="majorHAnsi" w:hAnsiTheme="majorHAnsi" w:cstheme="majorHAnsi"/>
          <w:color w:val="222222"/>
          <w:shd w:val="clear" w:color="auto" w:fill="FFFFFF"/>
        </w:rPr>
        <w:t xml:space="preserve"> et al., 2017)</w:t>
      </w:r>
      <w:r w:rsidR="00F62565" w:rsidRPr="004B1D6F">
        <w:rPr>
          <w:rFonts w:asciiTheme="majorHAnsi" w:hAnsiTheme="majorHAnsi" w:cstheme="majorHAnsi"/>
          <w:lang w:val="en-AU"/>
        </w:rPr>
        <w:t xml:space="preserve">. This implies that the provision of health care should </w:t>
      </w:r>
      <w:r w:rsidR="006246A2" w:rsidRPr="004B1D6F">
        <w:rPr>
          <w:rFonts w:asciiTheme="majorHAnsi" w:hAnsiTheme="majorHAnsi" w:cstheme="majorHAnsi"/>
          <w:lang w:val="en-AU"/>
        </w:rPr>
        <w:t xml:space="preserve">safeguard and boost humanity and human decency. Therefore, the role of </w:t>
      </w:r>
      <w:r w:rsidR="00B300FE">
        <w:rPr>
          <w:rFonts w:asciiTheme="majorHAnsi" w:hAnsiTheme="majorHAnsi" w:cstheme="majorHAnsi"/>
          <w:lang w:val="en-AU"/>
        </w:rPr>
        <w:t xml:space="preserve">the </w:t>
      </w:r>
      <w:r w:rsidR="006246A2" w:rsidRPr="004B1D6F">
        <w:rPr>
          <w:rFonts w:asciiTheme="majorHAnsi" w:hAnsiTheme="majorHAnsi" w:cstheme="majorHAnsi"/>
          <w:lang w:val="en-AU"/>
        </w:rPr>
        <w:t xml:space="preserve">healthcare professional is connected to human decency. </w:t>
      </w:r>
    </w:p>
    <w:p w14:paraId="19D38CAE" w14:textId="639398AD" w:rsidR="006246A2" w:rsidRPr="004B1D6F" w:rsidRDefault="006246A2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both"/>
        <w:rPr>
          <w:rFonts w:asciiTheme="majorHAnsi" w:hAnsiTheme="majorHAnsi" w:cstheme="majorHAnsi"/>
          <w:lang w:val="en-AU"/>
        </w:rPr>
      </w:pPr>
      <w:r w:rsidRPr="004B1D6F">
        <w:rPr>
          <w:rFonts w:asciiTheme="majorHAnsi" w:hAnsiTheme="majorHAnsi" w:cstheme="majorHAnsi"/>
          <w:lang w:val="en-AU"/>
        </w:rPr>
        <w:t xml:space="preserve">The </w:t>
      </w:r>
      <w:r w:rsidRPr="004B1D6F">
        <w:rPr>
          <w:rFonts w:asciiTheme="majorHAnsi" w:hAnsiTheme="majorHAnsi" w:cstheme="majorHAnsi"/>
          <w:lang w:val="en-AU"/>
        </w:rPr>
        <w:t>Gibbs' Reflective Cycle</w:t>
      </w:r>
      <w:r w:rsidRPr="004B1D6F">
        <w:rPr>
          <w:rFonts w:asciiTheme="majorHAnsi" w:hAnsiTheme="majorHAnsi" w:cstheme="majorHAnsi"/>
          <w:lang w:val="en-AU"/>
        </w:rPr>
        <w:t xml:space="preserve"> was used to reflect on my experience on the topic of Traumatic Brain Injury. I would describe the experience of Venessa as scary since she lost her life yet better care would have been provided to save her life. </w:t>
      </w:r>
      <w:r w:rsidR="00AB5764" w:rsidRPr="004B1D6F">
        <w:rPr>
          <w:rFonts w:asciiTheme="majorHAnsi" w:hAnsiTheme="majorHAnsi" w:cstheme="majorHAnsi"/>
          <w:lang w:val="en-AU"/>
        </w:rPr>
        <w:t>Analysing</w:t>
      </w:r>
      <w:r w:rsidRPr="004B1D6F">
        <w:rPr>
          <w:rFonts w:asciiTheme="majorHAnsi" w:hAnsiTheme="majorHAnsi" w:cstheme="majorHAnsi"/>
          <w:lang w:val="en-AU"/>
        </w:rPr>
        <w:t xml:space="preserve"> the case study made me </w:t>
      </w:r>
      <w:r w:rsidR="000E5B02" w:rsidRPr="004B1D6F">
        <w:rPr>
          <w:rFonts w:asciiTheme="majorHAnsi" w:hAnsiTheme="majorHAnsi" w:cstheme="majorHAnsi"/>
          <w:lang w:val="en-AU"/>
        </w:rPr>
        <w:t>sympathize</w:t>
      </w:r>
      <w:r w:rsidRPr="004B1D6F">
        <w:rPr>
          <w:rFonts w:asciiTheme="majorHAnsi" w:hAnsiTheme="majorHAnsi" w:cstheme="majorHAnsi"/>
          <w:lang w:val="en-AU"/>
        </w:rPr>
        <w:t xml:space="preserve"> </w:t>
      </w:r>
      <w:r w:rsidRPr="004B1D6F">
        <w:rPr>
          <w:rFonts w:asciiTheme="majorHAnsi" w:hAnsiTheme="majorHAnsi" w:cstheme="majorHAnsi"/>
          <w:lang w:val="en-AU"/>
        </w:rPr>
        <w:lastRenderedPageBreak/>
        <w:t>with Venessa and her family</w:t>
      </w:r>
      <w:r w:rsidR="009569FA" w:rsidRPr="004B1D6F">
        <w:rPr>
          <w:rFonts w:asciiTheme="majorHAnsi" w:hAnsiTheme="majorHAnsi" w:cstheme="majorHAnsi"/>
          <w:lang w:val="en-AU"/>
        </w:rPr>
        <w:t xml:space="preserve"> and I think Brain Injury is a deadly condition that should be treated </w:t>
      </w:r>
      <w:r w:rsidR="00AB5764" w:rsidRPr="004B1D6F">
        <w:rPr>
          <w:rFonts w:asciiTheme="majorHAnsi" w:hAnsiTheme="majorHAnsi" w:cstheme="majorHAnsi"/>
          <w:lang w:val="en-AU"/>
        </w:rPr>
        <w:t xml:space="preserve">and </w:t>
      </w:r>
      <w:r w:rsidR="009569FA" w:rsidRPr="004B1D6F">
        <w:rPr>
          <w:rFonts w:asciiTheme="majorHAnsi" w:hAnsiTheme="majorHAnsi" w:cstheme="majorHAnsi"/>
          <w:lang w:val="en-AU"/>
        </w:rPr>
        <w:t xml:space="preserve">handled well </w:t>
      </w:r>
      <w:r w:rsidR="00AB5764" w:rsidRPr="004B1D6F">
        <w:rPr>
          <w:rFonts w:asciiTheme="majorHAnsi" w:hAnsiTheme="majorHAnsi" w:cstheme="majorHAnsi"/>
          <w:lang w:val="en-AU"/>
        </w:rPr>
        <w:t>from</w:t>
      </w:r>
      <w:r w:rsidR="009569FA" w:rsidRPr="004B1D6F">
        <w:rPr>
          <w:rFonts w:asciiTheme="majorHAnsi" w:hAnsiTheme="majorHAnsi" w:cstheme="majorHAnsi"/>
          <w:lang w:val="en-AU"/>
        </w:rPr>
        <w:t xml:space="preserve"> the onset of the injury to the management of the treatment. </w:t>
      </w:r>
      <w:r w:rsidR="009D7A61" w:rsidRPr="004B1D6F">
        <w:rPr>
          <w:rFonts w:asciiTheme="majorHAnsi" w:hAnsiTheme="majorHAnsi" w:cstheme="majorHAnsi"/>
          <w:lang w:val="en-AU"/>
        </w:rPr>
        <w:t xml:space="preserve">An evaluation of the situation will show that things that went well were the scans done </w:t>
      </w:r>
      <w:r w:rsidR="000E5B02" w:rsidRPr="004B1D6F">
        <w:rPr>
          <w:rFonts w:asciiTheme="majorHAnsi" w:hAnsiTheme="majorHAnsi" w:cstheme="majorHAnsi"/>
          <w:lang w:val="en-AU"/>
        </w:rPr>
        <w:t xml:space="preserve">on the patient that identified the fractures on the skull. Failure to work on the seizures did not end well as the patient </w:t>
      </w:r>
      <w:r w:rsidR="00AE6B6F">
        <w:rPr>
          <w:rFonts w:asciiTheme="majorHAnsi" w:hAnsiTheme="majorHAnsi" w:cstheme="majorHAnsi"/>
          <w:lang w:val="en-AU"/>
        </w:rPr>
        <w:t>lost</w:t>
      </w:r>
      <w:r w:rsidR="000E5B02" w:rsidRPr="004B1D6F">
        <w:rPr>
          <w:rFonts w:asciiTheme="majorHAnsi" w:hAnsiTheme="majorHAnsi" w:cstheme="majorHAnsi"/>
          <w:lang w:val="en-AU"/>
        </w:rPr>
        <w:t xml:space="preserve"> her life. </w:t>
      </w:r>
      <w:r w:rsidR="00AB5764" w:rsidRPr="004B1D6F">
        <w:rPr>
          <w:rFonts w:asciiTheme="majorHAnsi" w:hAnsiTheme="majorHAnsi" w:cstheme="majorHAnsi"/>
          <w:lang w:val="en-AU"/>
        </w:rPr>
        <w:t xml:space="preserve">Additional knowledge obtained </w:t>
      </w:r>
      <w:r w:rsidR="00AE6B6F">
        <w:rPr>
          <w:rFonts w:asciiTheme="majorHAnsi" w:hAnsiTheme="majorHAnsi" w:cstheme="majorHAnsi"/>
          <w:lang w:val="en-AU"/>
        </w:rPr>
        <w:t>includes</w:t>
      </w:r>
      <w:r w:rsidR="00AB5764" w:rsidRPr="004B1D6F">
        <w:rPr>
          <w:rFonts w:asciiTheme="majorHAnsi" w:hAnsiTheme="majorHAnsi" w:cstheme="majorHAnsi"/>
          <w:lang w:val="en-AU"/>
        </w:rPr>
        <w:t xml:space="preserve"> the idea that the prolonged use of opioids to treat pain caused by Traumatic Brain Injury causes greater health risks to patients.</w:t>
      </w:r>
      <w:r w:rsidR="00AE6B6F">
        <w:rPr>
          <w:rFonts w:asciiTheme="majorHAnsi" w:hAnsiTheme="majorHAnsi" w:cstheme="majorHAnsi"/>
          <w:lang w:val="en-AU"/>
        </w:rPr>
        <w:t xml:space="preserve"> Therefore, other means of medication should be provided. Another information is that patients with co-occurring injuries from Traumatic Brain Injury take more </w:t>
      </w:r>
      <w:r w:rsidR="00B300FE">
        <w:rPr>
          <w:rFonts w:asciiTheme="majorHAnsi" w:hAnsiTheme="majorHAnsi" w:cstheme="majorHAnsi"/>
          <w:lang w:val="en-AU"/>
        </w:rPr>
        <w:t>opioid</w:t>
      </w:r>
      <w:r w:rsidR="00AE6B6F">
        <w:rPr>
          <w:rFonts w:asciiTheme="majorHAnsi" w:hAnsiTheme="majorHAnsi" w:cstheme="majorHAnsi"/>
          <w:lang w:val="en-AU"/>
        </w:rPr>
        <w:t xml:space="preserve"> and non-</w:t>
      </w:r>
      <w:r w:rsidR="00B300FE">
        <w:rPr>
          <w:rFonts w:asciiTheme="majorHAnsi" w:hAnsiTheme="majorHAnsi" w:cstheme="majorHAnsi"/>
          <w:lang w:val="en-AU"/>
        </w:rPr>
        <w:t>opioid</w:t>
      </w:r>
      <w:r w:rsidR="00AE6B6F">
        <w:rPr>
          <w:rFonts w:asciiTheme="majorHAnsi" w:hAnsiTheme="majorHAnsi" w:cstheme="majorHAnsi"/>
          <w:lang w:val="en-AU"/>
        </w:rPr>
        <w:t xml:space="preserve"> drugs to relieve their pain.</w:t>
      </w:r>
    </w:p>
    <w:p w14:paraId="7DF7604D" w14:textId="20044351" w:rsidR="00447B9D" w:rsidRPr="004B1D6F" w:rsidRDefault="008F3CD9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both"/>
        <w:rPr>
          <w:rFonts w:asciiTheme="majorHAnsi" w:hAnsiTheme="majorHAnsi" w:cstheme="majorHAnsi"/>
          <w:lang w:val="en-AU"/>
        </w:rPr>
      </w:pPr>
      <w:r w:rsidRPr="004B1D6F">
        <w:rPr>
          <w:rFonts w:asciiTheme="majorHAnsi" w:hAnsiTheme="majorHAnsi" w:cstheme="majorHAnsi"/>
          <w:lang w:val="en-AU"/>
        </w:rPr>
        <w:t xml:space="preserve"> </w:t>
      </w:r>
      <w:r w:rsidR="008659A4" w:rsidRPr="004B1D6F">
        <w:rPr>
          <w:rFonts w:asciiTheme="majorHAnsi" w:hAnsiTheme="majorHAnsi" w:cstheme="majorHAnsi"/>
          <w:lang w:val="en-AU"/>
        </w:rPr>
        <w:t xml:space="preserve"> </w:t>
      </w:r>
    </w:p>
    <w:p w14:paraId="531130D4" w14:textId="587A4985" w:rsidR="00447B9D" w:rsidRPr="004B1D6F" w:rsidRDefault="00447B9D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66635E76" w14:textId="0D2BCB55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64243605" w14:textId="5C395C38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1F93BA98" w14:textId="016A226E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5FB774D4" w14:textId="1C09E2ED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42537158" w14:textId="16300F3E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4CC581EF" w14:textId="50168172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0A70C12B" w14:textId="22AF3E6D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37FAB117" w14:textId="2768A2DD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743CB426" w14:textId="57D81B07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1891B3E3" w14:textId="28AEC4DD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53C30B01" w14:textId="7C8A1275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57F2FE53" w14:textId="20139EAE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382604D1" w14:textId="25939653" w:rsidR="008D71AB" w:rsidRPr="004B1D6F" w:rsidRDefault="008D71AB" w:rsidP="00B300FE">
      <w:pPr>
        <w:pStyle w:val="halfrhythm"/>
        <w:shd w:val="clear" w:color="auto" w:fill="FFFFFF"/>
        <w:spacing w:before="166" w:beforeAutospacing="0" w:after="166" w:afterAutospacing="0" w:line="360" w:lineRule="auto"/>
        <w:rPr>
          <w:rFonts w:asciiTheme="majorHAnsi" w:hAnsiTheme="majorHAnsi" w:cstheme="majorHAnsi"/>
          <w:b/>
          <w:bCs/>
          <w:lang w:val="en-AU"/>
        </w:rPr>
      </w:pPr>
    </w:p>
    <w:p w14:paraId="05E4AF29" w14:textId="42CDCAFD" w:rsidR="004B1D6F" w:rsidRPr="004B1D6F" w:rsidRDefault="008D71AB" w:rsidP="00AE6B6F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  <w:r w:rsidRPr="004B1D6F">
        <w:rPr>
          <w:rFonts w:asciiTheme="majorHAnsi" w:hAnsiTheme="majorHAnsi" w:cstheme="majorHAnsi"/>
          <w:b/>
          <w:bCs/>
          <w:lang w:val="en-AU"/>
        </w:rPr>
        <w:lastRenderedPageBreak/>
        <w:t xml:space="preserve">References </w:t>
      </w:r>
    </w:p>
    <w:p w14:paraId="31207377" w14:textId="77777777" w:rsidR="004B1D6F" w:rsidRPr="004B1D6F" w:rsidRDefault="004B1D6F" w:rsidP="008D71AB">
      <w:pPr>
        <w:ind w:left="720" w:hanging="720"/>
        <w:rPr>
          <w:rFonts w:asciiTheme="majorHAnsi" w:hAnsiTheme="majorHAnsi" w:cstheme="majorHAnsi"/>
          <w:sz w:val="24"/>
          <w:szCs w:val="24"/>
        </w:rPr>
      </w:pPr>
      <w:bookmarkStart w:id="0" w:name="_Hlk117845156"/>
      <w:r w:rsidRPr="004B1D6F">
        <w:rPr>
          <w:rFonts w:asciiTheme="majorHAnsi" w:hAnsiTheme="majorHAnsi" w:cstheme="majorHAnsi"/>
          <w:sz w:val="24"/>
          <w:szCs w:val="24"/>
        </w:rPr>
        <w:t>Cargo,</w:t>
      </w:r>
      <w:bookmarkEnd w:id="0"/>
      <w:r w:rsidRPr="004B1D6F">
        <w:rPr>
          <w:rFonts w:asciiTheme="majorHAnsi" w:hAnsiTheme="majorHAnsi" w:cstheme="majorHAnsi"/>
          <w:sz w:val="24"/>
          <w:szCs w:val="24"/>
        </w:rPr>
        <w:t xml:space="preserve"> Margaret &amp; </w:t>
      </w:r>
      <w:proofErr w:type="spellStart"/>
      <w:r w:rsidRPr="004B1D6F">
        <w:rPr>
          <w:rFonts w:asciiTheme="majorHAnsi" w:hAnsiTheme="majorHAnsi" w:cstheme="majorHAnsi"/>
          <w:sz w:val="24"/>
          <w:szCs w:val="24"/>
        </w:rPr>
        <w:t>Potaka-osborne</w:t>
      </w:r>
      <w:proofErr w:type="spellEnd"/>
      <w:r w:rsidRPr="004B1D6F">
        <w:rPr>
          <w:rFonts w:asciiTheme="majorHAnsi" w:hAnsiTheme="majorHAnsi" w:cstheme="majorHAnsi"/>
          <w:sz w:val="24"/>
          <w:szCs w:val="24"/>
        </w:rPr>
        <w:t>, Gill &amp; Cvitanovich, Lynley &amp; Warner, Lisa &amp; Clarke, Sharon &amp; Judd, Jenni &amp; Chakraborty, Amal &amp; Boulton, Amohia. (2019). Strategies to support culturally safe health and wellbeing evaluations in Indigenous settings in Australia and New Zealand: a concept mapping study. International Journal for Equity in Health. 18. 10.1186/s12939-019-1094-z.</w:t>
      </w:r>
    </w:p>
    <w:p w14:paraId="44FA5F37" w14:textId="77777777" w:rsidR="004B1D6F" w:rsidRPr="004B1D6F" w:rsidRDefault="004B1D6F" w:rsidP="008D71AB">
      <w:pPr>
        <w:ind w:left="720" w:hanging="720"/>
        <w:rPr>
          <w:rFonts w:asciiTheme="majorHAnsi" w:hAnsiTheme="majorHAnsi" w:cstheme="majorHAnsi"/>
          <w:sz w:val="24"/>
          <w:szCs w:val="24"/>
        </w:rPr>
      </w:pPr>
      <w:r w:rsidRPr="004B1D6F">
        <w:rPr>
          <w:rStyle w:val="Emphasis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Clinical guidelines (Nursing) : Nursing assessment</w:t>
      </w:r>
      <w:r w:rsidRPr="004B1D6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. (n.d.). The Royal Children's Hospital : The Royal Children's Hospital. </w:t>
      </w:r>
      <w:hyperlink r:id="rId7" w:history="1">
        <w:r w:rsidRPr="004B1D6F">
          <w:rPr>
            <w:rStyle w:val="Hyperlink"/>
            <w:rFonts w:asciiTheme="majorHAnsi" w:hAnsiTheme="majorHAnsi" w:cstheme="majorHAnsi"/>
            <w:color w:val="000000"/>
            <w:sz w:val="24"/>
            <w:szCs w:val="24"/>
            <w:shd w:val="clear" w:color="auto" w:fill="FFFFFF"/>
          </w:rPr>
          <w:t>https://www.rch.org.au/rchcpg/hospital_clinical_guideline_index/Nursing_assessment/</w:t>
        </w:r>
      </w:hyperlink>
    </w:p>
    <w:p w14:paraId="5423A9A8" w14:textId="77777777" w:rsidR="004B1D6F" w:rsidRPr="004B1D6F" w:rsidRDefault="004B1D6F" w:rsidP="008D71AB">
      <w:pPr>
        <w:ind w:left="720" w:hanging="720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Currie, S., Saleem, N., Straiton, J. A., Macmullen-Price, J., Warren, D. J., &amp; Craven, I. J. (2016). Imaging assessment of traumatic brain injury. </w:t>
      </w:r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Postgraduate medical journal</w:t>
      </w: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 </w:t>
      </w:r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92</w:t>
      </w: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(1083), 41-50.</w:t>
      </w:r>
    </w:p>
    <w:p w14:paraId="7730625A" w14:textId="77777777" w:rsidR="004B1D6F" w:rsidRPr="004B1D6F" w:rsidRDefault="004B1D6F" w:rsidP="008D71AB">
      <w:pPr>
        <w:ind w:left="720" w:hanging="720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bookmarkStart w:id="1" w:name="_Hlk117839997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Dash, H. H., &amp; Chavali, S. (2018). </w:t>
      </w:r>
      <w:bookmarkEnd w:id="1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Management of traumatic brain injury patients. </w:t>
      </w:r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Korean journal of anesthesiology</w:t>
      </w: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 </w:t>
      </w:r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71</w:t>
      </w: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(1), 12-21.</w:t>
      </w:r>
    </w:p>
    <w:p w14:paraId="163A0C1C" w14:textId="77777777" w:rsidR="004B1D6F" w:rsidRPr="004B1D6F" w:rsidRDefault="004B1D6F" w:rsidP="008D71AB">
      <w:pPr>
        <w:ind w:left="720" w:hanging="720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bookmarkStart w:id="2" w:name="_Hlk117832162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Deglin</w:t>
      </w:r>
      <w:bookmarkEnd w:id="2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 J., Vallerand, A., &amp; Sanoski, C. (2014). Davis’s Drug Guide for Nurses (14th ed.) (14th ed.). FA Davis Company.</w:t>
      </w:r>
    </w:p>
    <w:p w14:paraId="4BEF59ED" w14:textId="77777777" w:rsidR="004B1D6F" w:rsidRPr="004B1D6F" w:rsidRDefault="004B1D6F" w:rsidP="008D71AB">
      <w:pPr>
        <w:ind w:left="720" w:hanging="720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bookmarkStart w:id="3" w:name="_Hlk117821044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Gómez-de-</w:t>
      </w:r>
      <w:proofErr w:type="spellStart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Regil</w:t>
      </w:r>
      <w:bookmarkEnd w:id="3"/>
      <w:proofErr w:type="spellEnd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 L., Estrella-Castillo, D. F., &amp; Vega-Cauich, J. (2019). Psychological intervention in traumatic brain injury patients. </w:t>
      </w:r>
      <w:proofErr w:type="spellStart"/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Behavioural</w:t>
      </w:r>
      <w:proofErr w:type="spellEnd"/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 xml:space="preserve"> neurology</w:t>
      </w: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.</w:t>
      </w:r>
    </w:p>
    <w:p w14:paraId="3859A513" w14:textId="77777777" w:rsidR="004B1D6F" w:rsidRPr="004B1D6F" w:rsidRDefault="004B1D6F" w:rsidP="008D71AB">
      <w:pPr>
        <w:ind w:left="720" w:hanging="720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Kadivar, M., Manookian, A., Asghari, F., </w:t>
      </w:r>
      <w:proofErr w:type="spellStart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Niknafs</w:t>
      </w:r>
      <w:proofErr w:type="spellEnd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, N., </w:t>
      </w:r>
      <w:proofErr w:type="spellStart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Okazi</w:t>
      </w:r>
      <w:proofErr w:type="spellEnd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Zarvani</w:t>
      </w:r>
      <w:proofErr w:type="spellEnd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 A. (2017). Ethical and legal aspects of patient’s safety: a clinical case report. </w:t>
      </w:r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Journal of medical ethics and history of medicine</w:t>
      </w: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 </w:t>
      </w:r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10</w:t>
      </w: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.</w:t>
      </w:r>
    </w:p>
    <w:p w14:paraId="621EAAC8" w14:textId="77777777" w:rsidR="004B1D6F" w:rsidRPr="004B1D6F" w:rsidRDefault="004B1D6F" w:rsidP="008D71AB">
      <w:pPr>
        <w:ind w:left="720" w:hanging="720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bookmarkStart w:id="4" w:name="_Hlk117837249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Molero</w:t>
      </w:r>
      <w:bookmarkEnd w:id="4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 Y., Sharp, D. J., D'Onofrio, B. M., Larsson, H., &amp; Fazel, S. (2021). Psychotropic and pain medication use in individuals with traumatic brain injury—a Swedish total population cohort study of 240 000 persons. </w:t>
      </w:r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Journal of Neurology, Neurosurgery &amp; Psychiatry</w:t>
      </w: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 </w:t>
      </w:r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92</w:t>
      </w: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(5), 519-527.</w:t>
      </w:r>
    </w:p>
    <w:p w14:paraId="4D8AB58A" w14:textId="77777777" w:rsidR="004B1D6F" w:rsidRPr="004B1D6F" w:rsidRDefault="004B1D6F" w:rsidP="008D71AB">
      <w:pPr>
        <w:ind w:left="720" w:hanging="720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Ng, S. Y., &amp; Lee, A. Y. W. (2019). Traumatic brain injuries: pathophysiology and potential therapeutic targets. </w:t>
      </w:r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Frontiers in cellular neuroscience</w:t>
      </w: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 </w:t>
      </w:r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13</w:t>
      </w: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 528.</w:t>
      </w:r>
    </w:p>
    <w:p w14:paraId="5D6344C6" w14:textId="77777777" w:rsidR="004B1D6F" w:rsidRPr="004B1D6F" w:rsidRDefault="004B1D6F" w:rsidP="008D71AB">
      <w:pPr>
        <w:ind w:left="720" w:hanging="720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Portal, M. R. (</w:t>
      </w:r>
      <w:proofErr w:type="spellStart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n.d</w:t>
      </w:r>
      <w:proofErr w:type="spellEnd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) Nursing assessment. </w:t>
      </w:r>
      <w:hyperlink r:id="rId8" w:history="1">
        <w:r w:rsidRPr="004B1D6F">
          <w:rPr>
            <w:rStyle w:val="Hyperlink"/>
            <w:rFonts w:asciiTheme="majorHAnsi" w:hAnsiTheme="majorHAnsi" w:cstheme="majorHAnsi"/>
            <w:sz w:val="24"/>
            <w:szCs w:val="24"/>
            <w:shd w:val="clear" w:color="auto" w:fill="FFFFFF"/>
          </w:rPr>
          <w:t>https://www.rch.org.au/rchcpg/hospital_clinical_guideline_index/Nursing_assessment/</w:t>
        </w:r>
      </w:hyperlink>
    </w:p>
    <w:p w14:paraId="4452515F" w14:textId="77777777" w:rsidR="004B1D6F" w:rsidRPr="004B1D6F" w:rsidRDefault="004B1D6F" w:rsidP="008D71AB">
      <w:pPr>
        <w:ind w:left="720" w:hanging="720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4B1D6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RCH Portal. (n.d.). </w:t>
      </w:r>
      <w:r w:rsidRPr="004B1D6F">
        <w:rPr>
          <w:rStyle w:val="Emphasis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Clinical guidelines (Nursing) : Nursing documentation principles</w:t>
      </w:r>
      <w:r w:rsidRPr="004B1D6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. The Royal Children's Hospital : The Royal Children's Hospital. </w:t>
      </w:r>
      <w:hyperlink r:id="rId9" w:history="1">
        <w:r w:rsidRPr="004B1D6F">
          <w:rPr>
            <w:rStyle w:val="Hyperlink"/>
            <w:rFonts w:asciiTheme="majorHAnsi" w:hAnsiTheme="majorHAnsi" w:cstheme="majorHAnsi"/>
            <w:color w:val="000000"/>
            <w:sz w:val="24"/>
            <w:szCs w:val="24"/>
            <w:shd w:val="clear" w:color="auto" w:fill="FFFFFF"/>
          </w:rPr>
          <w:t>https://www.rch.org.au/rchcpg/hospital_clinical_guideline_index/nursing-documentation-principles/</w:t>
        </w:r>
      </w:hyperlink>
    </w:p>
    <w:p w14:paraId="25088381" w14:textId="77777777" w:rsidR="004B1D6F" w:rsidRPr="004B1D6F" w:rsidRDefault="004B1D6F" w:rsidP="008D71AB">
      <w:pPr>
        <w:ind w:left="720" w:hanging="720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lastRenderedPageBreak/>
        <w:t>Ribeiro, C. J. N., Araújo, A. C. S. D., Brito, S. B., Dantas, D. V., Nunes, M. D. S., Alves, J. A. B., &amp; Ribeiro, M. D. C. D. O. (2018). Pain assessment of traumatic brain injury victims using the Brazilian version of the Behavioral Pain Scale. </w:t>
      </w:r>
      <w:proofErr w:type="spellStart"/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Revista</w:t>
      </w:r>
      <w:proofErr w:type="spellEnd"/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 xml:space="preserve"> Brasileira de </w:t>
      </w:r>
      <w:proofErr w:type="spellStart"/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Terapia</w:t>
      </w:r>
      <w:proofErr w:type="spellEnd"/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Intensiva</w:t>
      </w:r>
      <w:proofErr w:type="spellEnd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 </w:t>
      </w:r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30</w:t>
      </w: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 42-49.</w:t>
      </w:r>
    </w:p>
    <w:p w14:paraId="52A9A51C" w14:textId="77777777" w:rsidR="004B1D6F" w:rsidRPr="004B1D6F" w:rsidRDefault="004B1D6F" w:rsidP="008D71AB">
      <w:pPr>
        <w:ind w:left="720" w:hanging="720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bookmarkStart w:id="5" w:name="_Hlk117831744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Shaikh</w:t>
      </w:r>
      <w:bookmarkEnd w:id="5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F, Waseem M, Boling AM. Head Trauma (Nursing) [Updated 2022 Aug 7]. In: </w:t>
      </w:r>
      <w:proofErr w:type="spellStart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[Internet]. Treasure Island (FL): </w:t>
      </w:r>
      <w:proofErr w:type="spellStart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Publishing; 2022 Jan-. Available from: </w:t>
      </w:r>
      <w:hyperlink r:id="rId10" w:history="1">
        <w:r w:rsidRPr="004B1D6F">
          <w:rPr>
            <w:rStyle w:val="Hyperlink"/>
            <w:rFonts w:asciiTheme="majorHAnsi" w:hAnsiTheme="majorHAnsi" w:cstheme="majorHAnsi"/>
            <w:sz w:val="24"/>
            <w:szCs w:val="24"/>
            <w:shd w:val="clear" w:color="auto" w:fill="FFFFFF"/>
          </w:rPr>
          <w:t>https://www.ncbi.nlm.nih.gov/books/NBK568699/</w:t>
        </w:r>
      </w:hyperlink>
    </w:p>
    <w:p w14:paraId="512FF452" w14:textId="77777777" w:rsidR="004B1D6F" w:rsidRPr="004B1D6F" w:rsidRDefault="004B1D6F" w:rsidP="008D71AB">
      <w:pPr>
        <w:ind w:left="720" w:hanging="720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bookmarkStart w:id="6" w:name="_Hlk117845319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Swanson</w:t>
      </w:r>
      <w:bookmarkEnd w:id="6"/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 M., Wong, S. T., Martin‐Misener, R., &amp; Browne, A. J. (2020). The role of registered nurses in primary care and public health collaboration: a scoping review. </w:t>
      </w:r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Nursing open</w:t>
      </w: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 </w:t>
      </w:r>
      <w:r w:rsidRPr="004B1D6F">
        <w:rPr>
          <w:rFonts w:asciiTheme="majorHAnsi" w:hAnsiTheme="majorHAnsi" w:cstheme="majorHAnsi"/>
          <w:i/>
          <w:iCs/>
          <w:color w:val="222222"/>
          <w:sz w:val="24"/>
          <w:szCs w:val="24"/>
          <w:shd w:val="clear" w:color="auto" w:fill="FFFFFF"/>
        </w:rPr>
        <w:t>7</w:t>
      </w: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(4), 1197-1207.</w:t>
      </w:r>
    </w:p>
    <w:p w14:paraId="37BCBCC4" w14:textId="77777777" w:rsidR="004B1D6F" w:rsidRPr="004B1D6F" w:rsidRDefault="004B1D6F" w:rsidP="008D71AB">
      <w:pPr>
        <w:ind w:left="720" w:hanging="720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4B1D6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Toney-Butler, T. J., &amp; Unison-Pace, W. J. (2018). Nursing admission assessment and examination.</w:t>
      </w:r>
    </w:p>
    <w:p w14:paraId="5EA26FE9" w14:textId="77777777" w:rsidR="004B1D6F" w:rsidRPr="004B1D6F" w:rsidRDefault="004B1D6F" w:rsidP="008D71AB">
      <w:pPr>
        <w:ind w:left="720" w:hanging="720"/>
        <w:rPr>
          <w:rFonts w:asciiTheme="majorHAnsi" w:hAnsiTheme="majorHAnsi" w:cstheme="majorHAnsi"/>
          <w:sz w:val="24"/>
          <w:szCs w:val="24"/>
        </w:rPr>
      </w:pPr>
      <w:bookmarkStart w:id="7" w:name="_Hlk117831592"/>
      <w:r w:rsidRPr="004B1D6F">
        <w:rPr>
          <w:rFonts w:asciiTheme="majorHAnsi" w:hAnsiTheme="majorHAnsi" w:cstheme="majorHAnsi"/>
          <w:sz w:val="24"/>
          <w:szCs w:val="24"/>
        </w:rPr>
        <w:t>Varghese</w:t>
      </w:r>
      <w:bookmarkEnd w:id="7"/>
      <w:r w:rsidRPr="004B1D6F">
        <w:rPr>
          <w:rFonts w:asciiTheme="majorHAnsi" w:hAnsiTheme="majorHAnsi" w:cstheme="majorHAnsi"/>
          <w:sz w:val="24"/>
          <w:szCs w:val="24"/>
        </w:rPr>
        <w:t xml:space="preserve">, R., Chakrabarty, J., &amp; Menon, G. (2017). Nursing Management of Adults with Severe Traumatic Brain Injury: A Narrative Review. </w:t>
      </w:r>
      <w:r w:rsidRPr="004B1D6F">
        <w:rPr>
          <w:rFonts w:asciiTheme="majorHAnsi" w:hAnsiTheme="majorHAnsi" w:cstheme="majorHAnsi"/>
          <w:i/>
          <w:iCs/>
          <w:sz w:val="24"/>
          <w:szCs w:val="24"/>
        </w:rPr>
        <w:t>Indian Journal of Critical Care Medicine : Peer-reviewed, Official Publication of Indian Society of Critical Care Medicine</w:t>
      </w:r>
      <w:r w:rsidRPr="004B1D6F">
        <w:rPr>
          <w:rFonts w:asciiTheme="majorHAnsi" w:hAnsiTheme="majorHAnsi" w:cstheme="majorHAnsi"/>
          <w:sz w:val="24"/>
          <w:szCs w:val="24"/>
        </w:rPr>
        <w:t xml:space="preserve">, </w:t>
      </w:r>
      <w:r w:rsidRPr="004B1D6F">
        <w:rPr>
          <w:rFonts w:asciiTheme="majorHAnsi" w:hAnsiTheme="majorHAnsi" w:cstheme="majorHAnsi"/>
          <w:i/>
          <w:iCs/>
          <w:sz w:val="24"/>
          <w:szCs w:val="24"/>
        </w:rPr>
        <w:t>21</w:t>
      </w:r>
      <w:r w:rsidRPr="004B1D6F">
        <w:rPr>
          <w:rFonts w:asciiTheme="majorHAnsi" w:hAnsiTheme="majorHAnsi" w:cstheme="majorHAnsi"/>
          <w:sz w:val="24"/>
          <w:szCs w:val="24"/>
        </w:rPr>
        <w:t xml:space="preserve">(10), 684-697. </w:t>
      </w:r>
      <w:hyperlink r:id="rId11" w:history="1">
        <w:r w:rsidRPr="004B1D6F">
          <w:rPr>
            <w:rStyle w:val="Hyperlink"/>
            <w:rFonts w:asciiTheme="majorHAnsi" w:hAnsiTheme="majorHAnsi" w:cstheme="majorHAnsi"/>
            <w:sz w:val="24"/>
            <w:szCs w:val="24"/>
          </w:rPr>
          <w:t>https://doi.org/10.4103/ijccm.IJCCM_233_17</w:t>
        </w:r>
      </w:hyperlink>
    </w:p>
    <w:p w14:paraId="51A2A82C" w14:textId="681A8429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5C4D137A" w14:textId="13F10F75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21EAB0B5" w14:textId="4389C1E2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16DFC270" w14:textId="2132F32B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3AA7801A" w14:textId="46EA4A39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252E5250" w14:textId="7D188639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30E23DA2" w14:textId="72632C51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p w14:paraId="61A80FAB" w14:textId="77777777" w:rsidR="008D71AB" w:rsidRPr="004B1D6F" w:rsidRDefault="008D71AB" w:rsidP="00A245DB">
      <w:pPr>
        <w:pStyle w:val="halfrhythm"/>
        <w:shd w:val="clear" w:color="auto" w:fill="FFFFFF"/>
        <w:spacing w:before="166" w:beforeAutospacing="0" w:after="166" w:afterAutospacing="0" w:line="360" w:lineRule="auto"/>
        <w:ind w:firstLine="720"/>
        <w:jc w:val="center"/>
        <w:rPr>
          <w:rFonts w:asciiTheme="majorHAnsi" w:hAnsiTheme="majorHAnsi" w:cstheme="majorHAnsi"/>
          <w:b/>
          <w:bCs/>
          <w:lang w:val="en-AU"/>
        </w:rPr>
      </w:pPr>
    </w:p>
    <w:sectPr w:rsidR="008D71AB" w:rsidRPr="004B1D6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BDB47" w14:textId="77777777" w:rsidR="002F6D95" w:rsidRDefault="002F6D95" w:rsidP="008D71AB">
      <w:pPr>
        <w:spacing w:after="0" w:line="240" w:lineRule="auto"/>
      </w:pPr>
      <w:r>
        <w:separator/>
      </w:r>
    </w:p>
  </w:endnote>
  <w:endnote w:type="continuationSeparator" w:id="0">
    <w:p w14:paraId="1D435983" w14:textId="77777777" w:rsidR="002F6D95" w:rsidRDefault="002F6D95" w:rsidP="008D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94D0" w14:textId="77777777" w:rsidR="002F6D95" w:rsidRDefault="002F6D95" w:rsidP="008D71AB">
      <w:pPr>
        <w:spacing w:after="0" w:line="240" w:lineRule="auto"/>
      </w:pPr>
      <w:r>
        <w:separator/>
      </w:r>
    </w:p>
  </w:footnote>
  <w:footnote w:type="continuationSeparator" w:id="0">
    <w:p w14:paraId="2B2F9F2E" w14:textId="77777777" w:rsidR="002F6D95" w:rsidRDefault="002F6D95" w:rsidP="008D7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3172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C6706D" w14:textId="756F9CC4" w:rsidR="008D71AB" w:rsidRDefault="008D71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AB7AE9" w14:textId="77777777" w:rsidR="008D71AB" w:rsidRDefault="008D7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5C27"/>
    <w:multiLevelType w:val="hybridMultilevel"/>
    <w:tmpl w:val="235863F8"/>
    <w:lvl w:ilvl="0" w:tplc="20DE458A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76582"/>
    <w:multiLevelType w:val="multilevel"/>
    <w:tmpl w:val="CF76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705742">
    <w:abstractNumId w:val="0"/>
  </w:num>
  <w:num w:numId="2" w16cid:durableId="984578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3B"/>
    <w:rsid w:val="00000E98"/>
    <w:rsid w:val="0000415A"/>
    <w:rsid w:val="00012ACF"/>
    <w:rsid w:val="0004153B"/>
    <w:rsid w:val="0006372E"/>
    <w:rsid w:val="000E5B02"/>
    <w:rsid w:val="00100127"/>
    <w:rsid w:val="0012097A"/>
    <w:rsid w:val="00121677"/>
    <w:rsid w:val="0012466A"/>
    <w:rsid w:val="0013140B"/>
    <w:rsid w:val="00150046"/>
    <w:rsid w:val="00161F31"/>
    <w:rsid w:val="00190D58"/>
    <w:rsid w:val="001A222C"/>
    <w:rsid w:val="001A325D"/>
    <w:rsid w:val="001A4DEA"/>
    <w:rsid w:val="001C0680"/>
    <w:rsid w:val="00221897"/>
    <w:rsid w:val="00225A37"/>
    <w:rsid w:val="002312D0"/>
    <w:rsid w:val="00260F86"/>
    <w:rsid w:val="00277829"/>
    <w:rsid w:val="002779DE"/>
    <w:rsid w:val="002979EA"/>
    <w:rsid w:val="002E402B"/>
    <w:rsid w:val="002F6D95"/>
    <w:rsid w:val="003009D7"/>
    <w:rsid w:val="003804AD"/>
    <w:rsid w:val="00396931"/>
    <w:rsid w:val="003B1883"/>
    <w:rsid w:val="003C3670"/>
    <w:rsid w:val="00406286"/>
    <w:rsid w:val="00415992"/>
    <w:rsid w:val="00447B9D"/>
    <w:rsid w:val="0045458A"/>
    <w:rsid w:val="004A68DA"/>
    <w:rsid w:val="004B1D6F"/>
    <w:rsid w:val="004D40F1"/>
    <w:rsid w:val="004F7C09"/>
    <w:rsid w:val="00500F4B"/>
    <w:rsid w:val="005245C2"/>
    <w:rsid w:val="00567F69"/>
    <w:rsid w:val="00617616"/>
    <w:rsid w:val="006246A2"/>
    <w:rsid w:val="00641AC7"/>
    <w:rsid w:val="00643537"/>
    <w:rsid w:val="00694895"/>
    <w:rsid w:val="006C2E28"/>
    <w:rsid w:val="006D55C6"/>
    <w:rsid w:val="00703E33"/>
    <w:rsid w:val="00726C91"/>
    <w:rsid w:val="007275BD"/>
    <w:rsid w:val="00736B65"/>
    <w:rsid w:val="0074132C"/>
    <w:rsid w:val="00745283"/>
    <w:rsid w:val="007557A0"/>
    <w:rsid w:val="00766978"/>
    <w:rsid w:val="00794D98"/>
    <w:rsid w:val="00797FBC"/>
    <w:rsid w:val="007A223B"/>
    <w:rsid w:val="007D15E5"/>
    <w:rsid w:val="007F7633"/>
    <w:rsid w:val="008260A2"/>
    <w:rsid w:val="00864CAE"/>
    <w:rsid w:val="008659A4"/>
    <w:rsid w:val="0086720A"/>
    <w:rsid w:val="00891CFA"/>
    <w:rsid w:val="008B0A36"/>
    <w:rsid w:val="008B4D37"/>
    <w:rsid w:val="008C0A3B"/>
    <w:rsid w:val="008D27FA"/>
    <w:rsid w:val="008D4E3E"/>
    <w:rsid w:val="008D71AB"/>
    <w:rsid w:val="008F3CD9"/>
    <w:rsid w:val="009009C5"/>
    <w:rsid w:val="00907997"/>
    <w:rsid w:val="00930455"/>
    <w:rsid w:val="00932DB5"/>
    <w:rsid w:val="009350DC"/>
    <w:rsid w:val="009554DD"/>
    <w:rsid w:val="009569FA"/>
    <w:rsid w:val="009A7405"/>
    <w:rsid w:val="009D7A61"/>
    <w:rsid w:val="009E5300"/>
    <w:rsid w:val="00A03799"/>
    <w:rsid w:val="00A056A8"/>
    <w:rsid w:val="00A245DB"/>
    <w:rsid w:val="00A273C6"/>
    <w:rsid w:val="00A412A0"/>
    <w:rsid w:val="00A466D4"/>
    <w:rsid w:val="00AA4E40"/>
    <w:rsid w:val="00AA7A78"/>
    <w:rsid w:val="00AB4BA1"/>
    <w:rsid w:val="00AB5764"/>
    <w:rsid w:val="00AC4771"/>
    <w:rsid w:val="00AC48FC"/>
    <w:rsid w:val="00AC578F"/>
    <w:rsid w:val="00AD1C14"/>
    <w:rsid w:val="00AE6B6F"/>
    <w:rsid w:val="00B044A4"/>
    <w:rsid w:val="00B17E47"/>
    <w:rsid w:val="00B300FE"/>
    <w:rsid w:val="00B52F42"/>
    <w:rsid w:val="00BA48D7"/>
    <w:rsid w:val="00BC0E59"/>
    <w:rsid w:val="00BE6656"/>
    <w:rsid w:val="00BE7000"/>
    <w:rsid w:val="00BF05AF"/>
    <w:rsid w:val="00BF22CF"/>
    <w:rsid w:val="00C23738"/>
    <w:rsid w:val="00C373D0"/>
    <w:rsid w:val="00C90D24"/>
    <w:rsid w:val="00CA1F31"/>
    <w:rsid w:val="00CB39E0"/>
    <w:rsid w:val="00CC0243"/>
    <w:rsid w:val="00D057C3"/>
    <w:rsid w:val="00D05A58"/>
    <w:rsid w:val="00D2455E"/>
    <w:rsid w:val="00D3558D"/>
    <w:rsid w:val="00D41D85"/>
    <w:rsid w:val="00D47909"/>
    <w:rsid w:val="00D65359"/>
    <w:rsid w:val="00D70817"/>
    <w:rsid w:val="00D92658"/>
    <w:rsid w:val="00D950AA"/>
    <w:rsid w:val="00DB1BC0"/>
    <w:rsid w:val="00DB588E"/>
    <w:rsid w:val="00DF0651"/>
    <w:rsid w:val="00E04A3D"/>
    <w:rsid w:val="00E14A94"/>
    <w:rsid w:val="00E84B37"/>
    <w:rsid w:val="00E9225C"/>
    <w:rsid w:val="00E92F6D"/>
    <w:rsid w:val="00ED4FF3"/>
    <w:rsid w:val="00EE4796"/>
    <w:rsid w:val="00F07981"/>
    <w:rsid w:val="00F40202"/>
    <w:rsid w:val="00F62565"/>
    <w:rsid w:val="00F772C3"/>
    <w:rsid w:val="00FA1F17"/>
    <w:rsid w:val="00FB04B1"/>
    <w:rsid w:val="00FC2761"/>
    <w:rsid w:val="00FE2465"/>
    <w:rsid w:val="00FE6DDB"/>
    <w:rsid w:val="00F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A9C0"/>
  <w15:chartTrackingRefBased/>
  <w15:docId w15:val="{9CD71CFE-BB99-4617-8D62-8F7957F2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72E"/>
    <w:pPr>
      <w:ind w:left="720"/>
      <w:contextualSpacing/>
    </w:pPr>
  </w:style>
  <w:style w:type="paragraph" w:customStyle="1" w:styleId="halfrhythm">
    <w:name w:val="half_rhythm"/>
    <w:basedOn w:val="Normal"/>
    <w:rsid w:val="0027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7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AB"/>
  </w:style>
  <w:style w:type="paragraph" w:styleId="Footer">
    <w:name w:val="footer"/>
    <w:basedOn w:val="Normal"/>
    <w:link w:val="FooterChar"/>
    <w:uiPriority w:val="99"/>
    <w:unhideWhenUsed/>
    <w:rsid w:val="008D7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AB"/>
  </w:style>
  <w:style w:type="character" w:styleId="Hyperlink">
    <w:name w:val="Hyperlink"/>
    <w:basedOn w:val="DefaultParagraphFont"/>
    <w:uiPriority w:val="99"/>
    <w:unhideWhenUsed/>
    <w:rsid w:val="008D71A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B1D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h.org.au/rchcpg/hospital_clinical_guideline_index/Nursing_assessmen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ch.org.au/rchcpg/hospital_clinical_guideline_index/Nursing_assessmen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103/ijccm.IJCCM_233_1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cbi.nlm.nih.gov/books/NBK56869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ch.org.au/rchcpg/hospital_clinical_guideline_index/nursing-documentation-principl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8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Juma</dc:creator>
  <cp:keywords/>
  <dc:description/>
  <cp:lastModifiedBy>Beatrice Juma</cp:lastModifiedBy>
  <cp:revision>121</cp:revision>
  <dcterms:created xsi:type="dcterms:W3CDTF">2022-10-27T21:37:00Z</dcterms:created>
  <dcterms:modified xsi:type="dcterms:W3CDTF">2022-10-28T07:43:00Z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c44d5d54-dc2b-4cd6-99f3-095e9cf6d250</vt:lpwstr>
  </property>
</Properties>
</file>