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0A063" w14:textId="77777777" w:rsidR="00586173" w:rsidRDefault="00000000">
      <w:pPr>
        <w:spacing w:after="240"/>
        <w:jc w:val="center"/>
      </w:pPr>
      <w:proofErr w:type="spellStart"/>
      <w:r>
        <w:rPr>
          <w:rFonts w:ascii="Verdana" w:eastAsia="Verdana" w:hAnsi="Verdana" w:cs="Verdana"/>
          <w:b/>
          <w:bCs/>
          <w:sz w:val="18"/>
          <w:szCs w:val="18"/>
        </w:rPr>
        <w:t>Smarthinking</w:t>
      </w:r>
      <w:proofErr w:type="spellEnd"/>
      <w:r>
        <w:rPr>
          <w:rFonts w:ascii="Verdana" w:eastAsia="Verdana" w:hAnsi="Verdana" w:cs="Verdana"/>
          <w:b/>
          <w:bCs/>
          <w:sz w:val="18"/>
          <w:szCs w:val="18"/>
        </w:rPr>
        <w:t xml:space="preserve"> Tutor Response Form</w:t>
      </w:r>
    </w:p>
    <w:p w14:paraId="6755DBCA" w14:textId="77777777" w:rsidR="00586173" w:rsidRDefault="00000000">
      <w:pPr>
        <w:spacing w:before="240" w:after="240"/>
      </w:pPr>
      <w:r>
        <w:rPr>
          <w:rFonts w:ascii="Verdana" w:eastAsia="Verdana" w:hAnsi="Verdana" w:cs="Verdana"/>
          <w:sz w:val="18"/>
          <w:szCs w:val="18"/>
        </w:rPr>
        <w:t xml:space="preserve">Your tutor has written overview comments about your essay in the form below. Your tutor has also embedded comments </w:t>
      </w:r>
      <w:r>
        <w:rPr>
          <w:rFonts w:ascii="Verdana" w:eastAsia="Verdana" w:hAnsi="Verdana" w:cs="Verdana"/>
          <w:b/>
          <w:bCs/>
          <w:sz w:val="18"/>
          <w:szCs w:val="18"/>
        </w:rPr>
        <w:t>[in bold and in brackets]</w:t>
      </w:r>
      <w:r>
        <w:rPr>
          <w:rFonts w:ascii="Verdana" w:eastAsia="Verdana" w:hAnsi="Verdana" w:cs="Verdana"/>
          <w:sz w:val="18"/>
          <w:szCs w:val="18"/>
        </w:rPr>
        <w:t xml:space="preserve"> within your essay. Thank you for choosing </w:t>
      </w:r>
      <w:proofErr w:type="spellStart"/>
      <w:r>
        <w:rPr>
          <w:rFonts w:ascii="Verdana" w:eastAsia="Verdana" w:hAnsi="Verdana" w:cs="Verdana"/>
          <w:sz w:val="18"/>
          <w:szCs w:val="18"/>
        </w:rPr>
        <w:t>Smarthinking</w:t>
      </w:r>
      <w:proofErr w:type="spellEnd"/>
      <w:r>
        <w:rPr>
          <w:rFonts w:ascii="Verdana" w:eastAsia="Verdana" w:hAnsi="Verdana" w:cs="Verdana"/>
          <w:sz w:val="18"/>
          <w:szCs w:val="18"/>
        </w:rPr>
        <w:t xml:space="preserve"> to help you improve your writing!</w:t>
      </w:r>
    </w:p>
    <w:p w14:paraId="63DDCED0" w14:textId="77777777" w:rsidR="00586173" w:rsidRDefault="00000000">
      <w:pPr>
        <w:spacing w:before="240" w:after="240"/>
      </w:pPr>
      <w:r>
        <w:rPr>
          <w:rFonts w:ascii="Verdana" w:eastAsia="Verdana" w:hAnsi="Verdana" w:cs="Verdana"/>
          <w:sz w:val="18"/>
          <w:szCs w:val="18"/>
        </w:rPr>
        <w:t xml:space="preserve">Hello, Martin! I am </w:t>
      </w:r>
      <w:proofErr w:type="spellStart"/>
      <w:r>
        <w:rPr>
          <w:rFonts w:ascii="Verdana" w:eastAsia="Verdana" w:hAnsi="Verdana" w:cs="Verdana"/>
          <w:sz w:val="18"/>
          <w:szCs w:val="18"/>
        </w:rPr>
        <w:t>Nazrene</w:t>
      </w:r>
      <w:proofErr w:type="spellEnd"/>
      <w:r>
        <w:rPr>
          <w:rFonts w:ascii="Verdana" w:eastAsia="Verdana" w:hAnsi="Verdana" w:cs="Verdana"/>
          <w:sz w:val="18"/>
          <w:szCs w:val="18"/>
        </w:rPr>
        <w:t xml:space="preserve"> A., and I look forward to working with you on this </w:t>
      </w:r>
      <w:r>
        <w:rPr>
          <w:rFonts w:ascii="Verdana" w:eastAsia="Verdana" w:hAnsi="Verdana" w:cs="Verdana"/>
          <w:b/>
          <w:bCs/>
          <w:sz w:val="18"/>
          <w:szCs w:val="18"/>
        </w:rPr>
        <w:t xml:space="preserve">Essay Center Review </w:t>
      </w:r>
      <w:r>
        <w:rPr>
          <w:rFonts w:ascii="Verdana" w:eastAsia="Verdana" w:hAnsi="Verdana" w:cs="Verdana"/>
          <w:sz w:val="18"/>
          <w:szCs w:val="18"/>
        </w:rPr>
        <w:t>to improve your writing today. Let's get started!</w:t>
      </w:r>
    </w:p>
    <w:p w14:paraId="4F53FA1F" w14:textId="77777777" w:rsidR="00586173" w:rsidRDefault="00000000">
      <w:pPr>
        <w:spacing w:before="240" w:after="240"/>
      </w:pPr>
      <w:r>
        <w:rPr>
          <w:rFonts w:ascii="Verdana" w:eastAsia="Verdana" w:hAnsi="Verdana" w:cs="Verdana"/>
          <w:b/>
          <w:bCs/>
          <w:color w:val="0033FF"/>
          <w:sz w:val="18"/>
          <w:szCs w:val="18"/>
        </w:rPr>
        <w:t>*Writing Strength:</w:t>
      </w:r>
      <w:r>
        <w:rPr>
          <w:rFonts w:ascii="Verdana" w:eastAsia="Verdana" w:hAnsi="Verdana" w:cs="Verdana"/>
          <w:sz w:val="18"/>
          <w:szCs w:val="18"/>
        </w:rPr>
        <w:t> </w:t>
      </w:r>
      <w:r>
        <w:rPr>
          <w:rFonts w:ascii="Verdana" w:eastAsia="Verdana" w:hAnsi="Verdana" w:cs="Verdana"/>
          <w:sz w:val="18"/>
          <w:szCs w:val="18"/>
        </w:rPr>
        <w:br/>
        <w:t xml:space="preserve">You have applied headings in your draft. As such, the reader </w:t>
      </w:r>
      <w:proofErr w:type="gramStart"/>
      <w:r>
        <w:rPr>
          <w:rFonts w:ascii="Verdana" w:eastAsia="Verdana" w:hAnsi="Verdana" w:cs="Verdana"/>
          <w:sz w:val="18"/>
          <w:szCs w:val="18"/>
        </w:rPr>
        <w:t>is able to</w:t>
      </w:r>
      <w:proofErr w:type="gramEnd"/>
      <w:r>
        <w:rPr>
          <w:rFonts w:ascii="Verdana" w:eastAsia="Verdana" w:hAnsi="Verdana" w:cs="Verdana"/>
          <w:sz w:val="18"/>
          <w:szCs w:val="18"/>
        </w:rPr>
        <w:t xml:space="preserve"> navigate through the paper easily and creates a well-organized paper. Great organizational skills, Martin!</w:t>
      </w:r>
      <w:r>
        <w:rPr>
          <w:rFonts w:ascii="Verdana" w:eastAsia="Verdana" w:hAnsi="Verdana" w:cs="Verdana"/>
          <w:sz w:val="18"/>
          <w:szCs w:val="18"/>
        </w:rPr>
        <w:br/>
      </w:r>
      <w:r>
        <w:rPr>
          <w:rFonts w:ascii="Verdana" w:eastAsia="Verdana" w:hAnsi="Verdana" w:cs="Verdana"/>
          <w:sz w:val="18"/>
          <w:szCs w:val="18"/>
        </w:rPr>
        <w:br/>
      </w:r>
    </w:p>
    <w:p w14:paraId="63AF5B10" w14:textId="77777777" w:rsidR="00586173" w:rsidRDefault="00000000">
      <w:pPr>
        <w:rPr>
          <w:rFonts w:ascii="Verdana" w:eastAsia="Verdana" w:hAnsi="Verdana" w:cs="Verdana"/>
          <w:b/>
          <w:bCs/>
          <w:color w:val="0033FF"/>
          <w:sz w:val="18"/>
          <w:szCs w:val="18"/>
        </w:rPr>
      </w:pPr>
      <w:r>
        <w:rPr>
          <w:rFonts w:ascii="Verdana" w:eastAsia="Verdana" w:hAnsi="Verdana" w:cs="Verdana"/>
          <w:b/>
          <w:bCs/>
          <w:color w:val="0033FF"/>
          <w:sz w:val="18"/>
          <w:szCs w:val="18"/>
        </w:rPr>
        <w:t>*Martin 13102416, you requested help with Organization:</w:t>
      </w:r>
      <w:r>
        <w:rPr>
          <w:rFonts w:ascii="Verdana" w:eastAsia="Verdana" w:hAnsi="Verdana" w:cs="Verdana"/>
          <w:color w:val="000000"/>
          <w:sz w:val="18"/>
          <w:szCs w:val="18"/>
        </w:rPr>
        <w:t>  </w:t>
      </w:r>
      <w:r>
        <w:rPr>
          <w:rFonts w:ascii="Verdana" w:eastAsia="Verdana" w:hAnsi="Verdana" w:cs="Verdana"/>
          <w:color w:val="000000"/>
          <w:sz w:val="18"/>
          <w:szCs w:val="18"/>
        </w:rPr>
        <w:br/>
      </w:r>
      <w:r>
        <w:rPr>
          <w:rFonts w:ascii="Verdana" w:eastAsia="Verdana" w:hAnsi="Verdana" w:cs="Verdana"/>
          <w:sz w:val="18"/>
          <w:szCs w:val="18"/>
        </w:rPr>
        <w:t>Some of the body paragraphs conclude with source information rather than a closing statement. For example, the paragraph under the heading "Health disparities related to your vulnerable group" draws to a close with the following source detail:</w:t>
      </w:r>
      <w:r>
        <w:t xml:space="preserve"> </w:t>
      </w:r>
    </w:p>
    <w:p w14:paraId="594572EA" w14:textId="77777777" w:rsidR="00586173" w:rsidRDefault="00000000">
      <w:pPr>
        <w:numPr>
          <w:ilvl w:val="0"/>
          <w:numId w:val="1"/>
        </w:numPr>
        <w:spacing w:before="240" w:after="240"/>
        <w:ind w:hanging="210"/>
      </w:pPr>
      <w:r>
        <w:rPr>
          <w:rFonts w:ascii="Verdana" w:eastAsia="Verdana" w:hAnsi="Verdana" w:cs="Verdana"/>
          <w:i/>
          <w:iCs/>
          <w:sz w:val="18"/>
          <w:szCs w:val="18"/>
        </w:rPr>
        <w:t>As a result, following the occurrence of TBI, the survivors, together with their caregivers, are forced to implement strategies to deal with the language, cognitive, personal plights, and physical problems occurring because of TBI (NINDS, 2022).</w:t>
      </w:r>
    </w:p>
    <w:p w14:paraId="58566FBF" w14:textId="77777777" w:rsidR="00586173" w:rsidRDefault="00000000">
      <w:pPr>
        <w:rPr>
          <w:rFonts w:ascii="Verdana" w:eastAsia="Verdana" w:hAnsi="Verdana" w:cs="Verdana"/>
          <w:sz w:val="18"/>
          <w:szCs w:val="18"/>
        </w:rPr>
      </w:pPr>
      <w:r>
        <w:rPr>
          <w:rFonts w:ascii="Verdana" w:eastAsia="Verdana" w:hAnsi="Verdana" w:cs="Verdana"/>
          <w:sz w:val="18"/>
          <w:szCs w:val="18"/>
        </w:rPr>
        <w:t xml:space="preserve">This is concerning as source information is inadequate in drawing a paragraph's discussion to a close. As such, the reader is left hanging in those parts of the paper for closure. </w:t>
      </w:r>
      <w:proofErr w:type="gramStart"/>
      <w:r>
        <w:rPr>
          <w:rFonts w:ascii="Verdana" w:eastAsia="Verdana" w:hAnsi="Verdana" w:cs="Verdana"/>
          <w:sz w:val="18"/>
          <w:szCs w:val="18"/>
        </w:rPr>
        <w:t>A  closing</w:t>
      </w:r>
      <w:proofErr w:type="gramEnd"/>
      <w:r>
        <w:rPr>
          <w:rFonts w:ascii="Verdana" w:eastAsia="Verdana" w:hAnsi="Verdana" w:cs="Verdana"/>
          <w:sz w:val="18"/>
          <w:szCs w:val="18"/>
        </w:rPr>
        <w:t xml:space="preserve"> statement is like a mini conclusion but for the paragraphs where the focus of the paragraph is revisited and drawn to a close. To revise, you need to engage with the source and convey how the citation by NINDS supports the topic of the health disparities related to your vulnerable group.</w:t>
      </w:r>
      <w:r>
        <w:rPr>
          <w:rFonts w:ascii="Verdana" w:eastAsia="Verdana" w:hAnsi="Verdana" w:cs="Verdana"/>
          <w:sz w:val="18"/>
          <w:szCs w:val="18"/>
        </w:rPr>
        <w:br/>
      </w:r>
      <w:r>
        <w:rPr>
          <w:rFonts w:ascii="Verdana" w:eastAsia="Verdana" w:hAnsi="Verdana" w:cs="Verdana"/>
          <w:sz w:val="18"/>
          <w:szCs w:val="18"/>
        </w:rPr>
        <w:br/>
      </w:r>
      <w:r>
        <w:rPr>
          <w:rFonts w:ascii="Verdana" w:eastAsia="Verdana" w:hAnsi="Verdana" w:cs="Verdana"/>
          <w:sz w:val="18"/>
          <w:szCs w:val="18"/>
        </w:rPr>
        <w:br/>
      </w:r>
      <w:r>
        <w:rPr>
          <w:rFonts w:ascii="Verdana" w:eastAsia="Verdana" w:hAnsi="Verdana" w:cs="Verdana"/>
          <w:sz w:val="18"/>
          <w:szCs w:val="18"/>
        </w:rPr>
        <w:br/>
      </w:r>
      <w:r>
        <w:rPr>
          <w:rFonts w:ascii="Verdana" w:eastAsia="Verdana" w:hAnsi="Verdana" w:cs="Verdana"/>
          <w:b/>
          <w:bCs/>
          <w:color w:val="0033FF"/>
          <w:sz w:val="18"/>
          <w:szCs w:val="18"/>
        </w:rPr>
        <w:t>*Martin 13102416, you requested help with Content Development:</w:t>
      </w:r>
      <w:r>
        <w:rPr>
          <w:rFonts w:ascii="Verdana" w:eastAsia="Verdana" w:hAnsi="Verdana" w:cs="Verdana"/>
          <w:color w:val="000000"/>
          <w:sz w:val="18"/>
          <w:szCs w:val="18"/>
        </w:rPr>
        <w:t>  </w:t>
      </w:r>
      <w:r>
        <w:rPr>
          <w:rFonts w:ascii="Verdana" w:eastAsia="Verdana" w:hAnsi="Verdana" w:cs="Verdana"/>
          <w:color w:val="000000"/>
          <w:sz w:val="18"/>
          <w:szCs w:val="18"/>
        </w:rPr>
        <w:br/>
      </w:r>
      <w:r>
        <w:rPr>
          <w:rFonts w:ascii="Verdana" w:eastAsia="Verdana" w:hAnsi="Verdana" w:cs="Verdana"/>
          <w:sz w:val="18"/>
          <w:szCs w:val="18"/>
        </w:rPr>
        <w:t xml:space="preserve">I have also noticed that you have not yet created content to ease the reader into the discussion of </w:t>
      </w:r>
      <w:proofErr w:type="gramStart"/>
      <w:r>
        <w:rPr>
          <w:rFonts w:ascii="Verdana" w:eastAsia="Verdana" w:hAnsi="Verdana" w:cs="Verdana"/>
          <w:sz w:val="18"/>
          <w:szCs w:val="18"/>
        </w:rPr>
        <w:t>the  "</w:t>
      </w:r>
      <w:proofErr w:type="gramEnd"/>
      <w:r>
        <w:rPr>
          <w:rFonts w:ascii="Verdana" w:eastAsia="Verdana" w:hAnsi="Verdana" w:cs="Verdana"/>
          <w:sz w:val="18"/>
          <w:szCs w:val="18"/>
        </w:rPr>
        <w:t>Levels of Prevention". To build content and engage with the levels of prevention, consider the following points:</w:t>
      </w:r>
      <w:r>
        <w:rPr>
          <w:rFonts w:ascii="Verdana" w:eastAsia="Verdana" w:hAnsi="Verdana" w:cs="Verdana"/>
          <w:sz w:val="18"/>
          <w:szCs w:val="18"/>
        </w:rPr>
        <w:br/>
      </w:r>
    </w:p>
    <w:p w14:paraId="0709CC14" w14:textId="77777777" w:rsidR="00586173" w:rsidRDefault="00000000">
      <w:pPr>
        <w:numPr>
          <w:ilvl w:val="0"/>
          <w:numId w:val="2"/>
        </w:numPr>
        <w:spacing w:before="240"/>
        <w:ind w:hanging="210"/>
      </w:pPr>
      <w:r>
        <w:rPr>
          <w:rFonts w:ascii="Verdana" w:eastAsia="Verdana" w:hAnsi="Verdana" w:cs="Verdana"/>
          <w:sz w:val="18"/>
          <w:szCs w:val="18"/>
        </w:rPr>
        <w:t>Firstly, what are the levels of prevention?</w:t>
      </w:r>
    </w:p>
    <w:p w14:paraId="1DE6DF01" w14:textId="77777777" w:rsidR="00586173" w:rsidRDefault="00000000">
      <w:pPr>
        <w:numPr>
          <w:ilvl w:val="0"/>
          <w:numId w:val="2"/>
        </w:numPr>
        <w:ind w:hanging="210"/>
      </w:pPr>
      <w:r>
        <w:rPr>
          <w:rFonts w:ascii="Verdana" w:eastAsia="Verdana" w:hAnsi="Verdana" w:cs="Verdana"/>
          <w:sz w:val="18"/>
          <w:szCs w:val="18"/>
        </w:rPr>
        <w:t>What is the need for levels of prevention?</w:t>
      </w:r>
    </w:p>
    <w:p w14:paraId="3D05E4A2" w14:textId="77777777" w:rsidR="00586173" w:rsidRDefault="00000000">
      <w:pPr>
        <w:numPr>
          <w:ilvl w:val="0"/>
          <w:numId w:val="2"/>
        </w:numPr>
        <w:ind w:hanging="210"/>
      </w:pPr>
      <w:r>
        <w:rPr>
          <w:rFonts w:ascii="Verdana" w:eastAsia="Verdana" w:hAnsi="Verdana" w:cs="Verdana"/>
          <w:sz w:val="18"/>
          <w:szCs w:val="18"/>
        </w:rPr>
        <w:t>How many levels of prevention are there?</w:t>
      </w:r>
    </w:p>
    <w:p w14:paraId="2620E854" w14:textId="77777777" w:rsidR="00586173" w:rsidRDefault="00000000">
      <w:pPr>
        <w:numPr>
          <w:ilvl w:val="0"/>
          <w:numId w:val="2"/>
        </w:numPr>
        <w:spacing w:after="240"/>
        <w:ind w:hanging="210"/>
      </w:pPr>
      <w:r>
        <w:rPr>
          <w:rFonts w:ascii="Verdana" w:eastAsia="Verdana" w:hAnsi="Verdana" w:cs="Verdana"/>
          <w:sz w:val="18"/>
          <w:szCs w:val="18"/>
        </w:rPr>
        <w:t>Name the levels of prevention.</w:t>
      </w:r>
    </w:p>
    <w:p w14:paraId="577DB14F" w14:textId="77777777" w:rsidR="00586173" w:rsidRDefault="00000000">
      <w:r>
        <w:br/>
      </w:r>
      <w:r>
        <w:rPr>
          <w:rFonts w:ascii="Verdana" w:eastAsia="Verdana" w:hAnsi="Verdana" w:cs="Verdana"/>
          <w:sz w:val="18"/>
          <w:szCs w:val="18"/>
        </w:rPr>
        <w:t>Use the points above to brainstorm content to create a paragraph before discussing the levels of prevention.</w:t>
      </w:r>
      <w:r>
        <w:rPr>
          <w:rFonts w:ascii="Verdana" w:eastAsia="Verdana" w:hAnsi="Verdana" w:cs="Verdana"/>
          <w:sz w:val="18"/>
          <w:szCs w:val="18"/>
        </w:rPr>
        <w:br/>
      </w:r>
    </w:p>
    <w:p w14:paraId="0C0818E4" w14:textId="77777777" w:rsidR="00586173" w:rsidRDefault="00000000">
      <w:pPr>
        <w:spacing w:before="240" w:after="240"/>
      </w:pPr>
      <w:r>
        <w:rPr>
          <w:rFonts w:ascii="Verdana" w:eastAsia="Verdana" w:hAnsi="Verdana" w:cs="Verdana"/>
          <w:sz w:val="18"/>
          <w:szCs w:val="18"/>
        </w:rPr>
        <w:t> </w:t>
      </w:r>
    </w:p>
    <w:p w14:paraId="2DAF999A" w14:textId="77777777" w:rsidR="00586173" w:rsidRDefault="00000000">
      <w:pPr>
        <w:spacing w:before="240" w:after="240"/>
      </w:pPr>
      <w:r>
        <w:rPr>
          <w:rFonts w:ascii="Verdana" w:eastAsia="Verdana" w:hAnsi="Verdana" w:cs="Verdana"/>
          <w:b/>
          <w:bCs/>
          <w:sz w:val="18"/>
          <w:szCs w:val="18"/>
        </w:rPr>
        <w:t>Main Idea/Thesis</w:t>
      </w:r>
      <w:r>
        <w:rPr>
          <w:rFonts w:ascii="Verdana" w:eastAsia="Verdana" w:hAnsi="Verdana" w:cs="Verdana"/>
          <w:color w:val="000000"/>
          <w:sz w:val="18"/>
          <w:szCs w:val="18"/>
        </w:rPr>
        <w:t> </w:t>
      </w:r>
      <w:r>
        <w:rPr>
          <w:rFonts w:ascii="Verdana" w:eastAsia="Verdana" w:hAnsi="Verdana" w:cs="Verdana"/>
          <w:color w:val="000000"/>
          <w:sz w:val="18"/>
          <w:szCs w:val="18"/>
        </w:rPr>
        <w:br/>
        <w:t>Still in keeping with levels of prevention, I have noticed that you identify the levels of prevention to be primordial prevention, primary prevention, secondary prevention, and tertiary prevention; however, you have not yet given the reader examples of these types of prevention. To build on the definition of the levels of prevention, consider adding examples to help the reader understand these levels better. For example, an example of primary prevention may be vaccines.</w:t>
      </w:r>
      <w:r>
        <w:rPr>
          <w:rFonts w:ascii="Verdana" w:eastAsia="Verdana" w:hAnsi="Verdana" w:cs="Verdana"/>
          <w:color w:val="000000"/>
          <w:sz w:val="18"/>
          <w:szCs w:val="18"/>
        </w:rPr>
        <w:br/>
      </w:r>
      <w:r>
        <w:rPr>
          <w:rFonts w:ascii="Verdana" w:eastAsia="Verdana" w:hAnsi="Verdana" w:cs="Verdana"/>
          <w:color w:val="000000"/>
          <w:sz w:val="18"/>
          <w:szCs w:val="18"/>
        </w:rPr>
        <w:br/>
      </w:r>
      <w:r>
        <w:rPr>
          <w:rFonts w:ascii="Verdana" w:eastAsia="Verdana" w:hAnsi="Verdana" w:cs="Verdana"/>
          <w:color w:val="000000"/>
          <w:sz w:val="18"/>
          <w:szCs w:val="18"/>
        </w:rPr>
        <w:br/>
      </w:r>
      <w:r>
        <w:rPr>
          <w:rFonts w:ascii="Verdana" w:eastAsia="Verdana" w:hAnsi="Verdana" w:cs="Verdana"/>
          <w:color w:val="000000"/>
          <w:sz w:val="18"/>
          <w:szCs w:val="18"/>
        </w:rPr>
        <w:br/>
      </w:r>
      <w:r>
        <w:rPr>
          <w:rFonts w:ascii="Verdana" w:eastAsia="Verdana" w:hAnsi="Verdana" w:cs="Verdana"/>
          <w:color w:val="000000"/>
          <w:sz w:val="18"/>
          <w:szCs w:val="18"/>
        </w:rPr>
        <w:br/>
      </w:r>
      <w:r>
        <w:rPr>
          <w:rFonts w:ascii="Verdana" w:eastAsia="Verdana" w:hAnsi="Verdana" w:cs="Verdana"/>
          <w:b/>
          <w:bCs/>
          <w:sz w:val="18"/>
          <w:szCs w:val="18"/>
        </w:rPr>
        <w:t>Summary of Next Steps:</w:t>
      </w:r>
      <w:r>
        <w:rPr>
          <w:rFonts w:ascii="Verdana" w:eastAsia="Verdana" w:hAnsi="Verdana" w:cs="Verdana"/>
          <w:sz w:val="18"/>
          <w:szCs w:val="18"/>
        </w:rPr>
        <w:t> </w:t>
      </w:r>
    </w:p>
    <w:p w14:paraId="44A47A51" w14:textId="77777777" w:rsidR="00586173" w:rsidRDefault="00000000">
      <w:pPr>
        <w:numPr>
          <w:ilvl w:val="0"/>
          <w:numId w:val="3"/>
        </w:numPr>
        <w:spacing w:before="240"/>
        <w:ind w:hanging="210"/>
      </w:pPr>
      <w:r>
        <w:rPr>
          <w:rFonts w:ascii="Verdana" w:eastAsia="Verdana" w:hAnsi="Verdana" w:cs="Verdana"/>
          <w:sz w:val="18"/>
          <w:szCs w:val="18"/>
        </w:rPr>
        <w:t>Create closing sentences for paragraphs that conclude with source information.</w:t>
      </w:r>
      <w:r>
        <w:rPr>
          <w:rFonts w:ascii="Verdana" w:eastAsia="Verdana" w:hAnsi="Verdana" w:cs="Verdana"/>
          <w:sz w:val="18"/>
          <w:szCs w:val="18"/>
        </w:rPr>
        <w:br/>
        <w:t> </w:t>
      </w:r>
    </w:p>
    <w:p w14:paraId="74F5594D" w14:textId="77777777" w:rsidR="00586173" w:rsidRDefault="00000000">
      <w:pPr>
        <w:numPr>
          <w:ilvl w:val="0"/>
          <w:numId w:val="3"/>
        </w:numPr>
        <w:ind w:hanging="210"/>
      </w:pPr>
      <w:r>
        <w:rPr>
          <w:rFonts w:ascii="Verdana" w:eastAsia="Verdana" w:hAnsi="Verdana" w:cs="Verdana"/>
          <w:sz w:val="18"/>
          <w:szCs w:val="18"/>
        </w:rPr>
        <w:t xml:space="preserve">Build content to discuss the </w:t>
      </w:r>
      <w:r>
        <w:rPr>
          <w:rFonts w:ascii="Verdana" w:eastAsia="Verdana" w:hAnsi="Verdana" w:cs="Verdana"/>
          <w:color w:val="000000"/>
          <w:sz w:val="18"/>
          <w:szCs w:val="18"/>
        </w:rPr>
        <w:t>levels of prevention.</w:t>
      </w:r>
      <w:r>
        <w:rPr>
          <w:rFonts w:ascii="Verdana" w:eastAsia="Verdana" w:hAnsi="Verdana" w:cs="Verdana"/>
          <w:color w:val="000000"/>
          <w:sz w:val="18"/>
          <w:szCs w:val="18"/>
        </w:rPr>
        <w:br/>
      </w:r>
      <w:r>
        <w:rPr>
          <w:rFonts w:ascii="Verdana" w:eastAsia="Verdana" w:hAnsi="Verdana" w:cs="Verdana"/>
          <w:sz w:val="18"/>
          <w:szCs w:val="18"/>
        </w:rPr>
        <w:t> </w:t>
      </w:r>
    </w:p>
    <w:p w14:paraId="036FE40D" w14:textId="77777777" w:rsidR="00586173" w:rsidRDefault="00000000">
      <w:pPr>
        <w:numPr>
          <w:ilvl w:val="0"/>
          <w:numId w:val="3"/>
        </w:numPr>
        <w:spacing w:after="240"/>
        <w:ind w:hanging="210"/>
      </w:pPr>
      <w:r>
        <w:rPr>
          <w:rFonts w:ascii="Verdana" w:eastAsia="Verdana" w:hAnsi="Verdana" w:cs="Verdana"/>
          <w:sz w:val="18"/>
          <w:szCs w:val="18"/>
        </w:rPr>
        <w:t xml:space="preserve"> Provide examples of </w:t>
      </w:r>
      <w:r>
        <w:rPr>
          <w:rFonts w:ascii="Verdana" w:eastAsia="Verdana" w:hAnsi="Verdana" w:cs="Verdana"/>
          <w:color w:val="000000"/>
          <w:sz w:val="18"/>
          <w:szCs w:val="18"/>
        </w:rPr>
        <w:t>levels of prevention.</w:t>
      </w:r>
    </w:p>
    <w:p w14:paraId="768C6A9C" w14:textId="77777777" w:rsidR="00586173" w:rsidRDefault="00000000">
      <w:pPr>
        <w:spacing w:before="240" w:after="240"/>
      </w:pPr>
      <w:r>
        <w:rPr>
          <w:rFonts w:ascii="Verdana" w:eastAsia="Verdana" w:hAnsi="Verdana" w:cs="Verdana"/>
          <w:sz w:val="18"/>
          <w:szCs w:val="18"/>
        </w:rPr>
        <w:t xml:space="preserve">Thank you for submitting your essay for a review. I enjoyed helping you with this step in the revision process. Have a good day, Martin! ~ </w:t>
      </w:r>
      <w:proofErr w:type="spellStart"/>
      <w:r>
        <w:rPr>
          <w:rFonts w:ascii="Verdana" w:eastAsia="Verdana" w:hAnsi="Verdana" w:cs="Verdana"/>
          <w:sz w:val="18"/>
          <w:szCs w:val="18"/>
        </w:rPr>
        <w:t>Nazrene</w:t>
      </w:r>
      <w:proofErr w:type="spellEnd"/>
      <w:r>
        <w:rPr>
          <w:rFonts w:ascii="Verdana" w:eastAsia="Verdana" w:hAnsi="Verdana" w:cs="Verdana"/>
          <w:sz w:val="18"/>
          <w:szCs w:val="18"/>
        </w:rPr>
        <w:t xml:space="preserve"> A.</w:t>
      </w:r>
    </w:p>
    <w:p w14:paraId="03E2E31A" w14:textId="77777777" w:rsidR="00586173" w:rsidRDefault="00000000">
      <w:pPr>
        <w:spacing w:before="240" w:after="240"/>
      </w:pPr>
      <w:r>
        <w:rPr>
          <w:rFonts w:ascii="Verdana" w:eastAsia="Verdana" w:hAnsi="Verdana" w:cs="Verdana"/>
          <w:sz w:val="18"/>
          <w:szCs w:val="18"/>
        </w:rPr>
        <w:t xml:space="preserve">You can find more information about writing, grammar, and usage in the </w:t>
      </w:r>
      <w:hyperlink r:id="rId5" w:tgtFrame="_blank" w:history="1">
        <w:proofErr w:type="spellStart"/>
        <w:r>
          <w:rPr>
            <w:rFonts w:ascii="Verdana" w:eastAsia="Verdana" w:hAnsi="Verdana" w:cs="Verdana"/>
            <w:color w:val="0000EE"/>
            <w:sz w:val="18"/>
            <w:szCs w:val="18"/>
            <w:u w:val="single" w:color="0000EE"/>
          </w:rPr>
          <w:t>Smarthinking</w:t>
        </w:r>
        <w:proofErr w:type="spellEnd"/>
        <w:r>
          <w:rPr>
            <w:rFonts w:ascii="Verdana" w:eastAsia="Verdana" w:hAnsi="Verdana" w:cs="Verdana"/>
            <w:color w:val="0000EE"/>
            <w:sz w:val="18"/>
            <w:szCs w:val="18"/>
            <w:u w:val="single" w:color="0000EE"/>
          </w:rPr>
          <w:t xml:space="preserve"> Writer's Handbook</w:t>
        </w:r>
      </w:hyperlink>
      <w:r>
        <w:rPr>
          <w:rFonts w:ascii="Verdana" w:eastAsia="Verdana" w:hAnsi="Verdana" w:cs="Verdana"/>
          <w:sz w:val="18"/>
          <w:szCs w:val="18"/>
        </w:rPr>
        <w:t>.</w:t>
      </w:r>
    </w:p>
    <w:p w14:paraId="322F1CCF" w14:textId="77777777" w:rsidR="00586173" w:rsidRDefault="00000000">
      <w:pPr>
        <w:spacing w:before="240" w:after="240"/>
      </w:pPr>
      <w:r>
        <w:rPr>
          <w:rFonts w:ascii="Verdana" w:eastAsia="Verdana" w:hAnsi="Verdana" w:cs="Verdana"/>
          <w:sz w:val="18"/>
          <w:szCs w:val="18"/>
        </w:rPr>
        <w:t>_________________________________________________________________________________</w:t>
      </w:r>
    </w:p>
    <w:p w14:paraId="54710C29" w14:textId="77777777" w:rsidR="00586173" w:rsidRDefault="00000000">
      <w:pPr>
        <w:spacing w:before="240" w:after="240"/>
      </w:pPr>
      <w:r>
        <w:rPr>
          <w:rFonts w:ascii="Verdana" w:eastAsia="Verdana" w:hAnsi="Verdana" w:cs="Verdana"/>
          <w:sz w:val="18"/>
          <w:szCs w:val="18"/>
        </w:rPr>
        <w:t xml:space="preserve">Please look for comments </w:t>
      </w:r>
      <w:r>
        <w:rPr>
          <w:rFonts w:ascii="Verdana" w:eastAsia="Verdana" w:hAnsi="Verdana" w:cs="Verdana"/>
          <w:b/>
          <w:bCs/>
          <w:sz w:val="18"/>
          <w:szCs w:val="18"/>
        </w:rPr>
        <w:t>[in bold and in brackets]</w:t>
      </w:r>
      <w:r>
        <w:rPr>
          <w:rFonts w:ascii="Verdana" w:eastAsia="Verdana" w:hAnsi="Verdana" w:cs="Verdana"/>
          <w:sz w:val="18"/>
          <w:szCs w:val="18"/>
        </w:rPr>
        <w:t xml:space="preserve"> in your essay below.</w:t>
      </w:r>
      <w:r>
        <w:rPr>
          <w:rFonts w:ascii="Verdana" w:eastAsia="Verdana" w:hAnsi="Verdana" w:cs="Verdana"/>
          <w:sz w:val="18"/>
          <w:szCs w:val="18"/>
        </w:rPr>
        <w:br/>
        <w:t xml:space="preserve">Thank you for submitting your work to </w:t>
      </w:r>
      <w:proofErr w:type="spellStart"/>
      <w:r>
        <w:rPr>
          <w:rFonts w:ascii="Verdana" w:eastAsia="Verdana" w:hAnsi="Verdana" w:cs="Verdana"/>
          <w:sz w:val="18"/>
          <w:szCs w:val="18"/>
        </w:rPr>
        <w:t>Smarthinking</w:t>
      </w:r>
      <w:proofErr w:type="spellEnd"/>
      <w:r>
        <w:rPr>
          <w:rFonts w:ascii="Verdana" w:eastAsia="Verdana" w:hAnsi="Verdana" w:cs="Verdana"/>
          <w:sz w:val="18"/>
          <w:szCs w:val="18"/>
        </w:rPr>
        <w:t>! We hope to see you again soon.</w:t>
      </w:r>
    </w:p>
    <w:p w14:paraId="0FEC6E5E" w14:textId="77777777" w:rsidR="00586173" w:rsidRDefault="00000000">
      <w:r>
        <w:br/>
      </w:r>
      <w:r>
        <w:br/>
      </w:r>
    </w:p>
    <w:p w14:paraId="7C52CE15" w14:textId="77777777" w:rsidR="00586173" w:rsidRDefault="00000000">
      <w:pPr>
        <w:spacing w:line="480" w:lineRule="auto"/>
        <w:jc w:val="center"/>
      </w:pPr>
      <w:r>
        <w:t> </w:t>
      </w:r>
    </w:p>
    <w:p w14:paraId="0FB8F5D7" w14:textId="77777777" w:rsidR="00586173" w:rsidRDefault="00000000">
      <w:pPr>
        <w:spacing w:line="480" w:lineRule="auto"/>
        <w:jc w:val="center"/>
      </w:pPr>
      <w:r>
        <w:t> </w:t>
      </w:r>
    </w:p>
    <w:p w14:paraId="45BBF679" w14:textId="77777777" w:rsidR="00586173" w:rsidRDefault="00000000">
      <w:pPr>
        <w:spacing w:line="480" w:lineRule="auto"/>
        <w:jc w:val="center"/>
      </w:pPr>
      <w:r>
        <w:t> </w:t>
      </w:r>
    </w:p>
    <w:p w14:paraId="56EB50BB" w14:textId="77777777" w:rsidR="00586173" w:rsidRDefault="00000000">
      <w:pPr>
        <w:spacing w:line="480" w:lineRule="auto"/>
        <w:jc w:val="center"/>
      </w:pPr>
      <w:r>
        <w:t>Martin Mutesasira</w:t>
      </w:r>
    </w:p>
    <w:p w14:paraId="1C84E86F" w14:textId="77777777" w:rsidR="00586173" w:rsidRDefault="00000000">
      <w:pPr>
        <w:spacing w:line="480" w:lineRule="auto"/>
        <w:jc w:val="center"/>
      </w:pPr>
      <w:r>
        <w:t>Regis College</w:t>
      </w:r>
    </w:p>
    <w:p w14:paraId="31D59D47" w14:textId="77777777" w:rsidR="00586173" w:rsidRDefault="00000000">
      <w:pPr>
        <w:spacing w:line="480" w:lineRule="auto"/>
        <w:jc w:val="center"/>
      </w:pPr>
      <w:r>
        <w:t xml:space="preserve">Advanced Health Promotion &amp; Disease Prevention </w:t>
      </w:r>
    </w:p>
    <w:p w14:paraId="6AFF740C" w14:textId="77777777" w:rsidR="00586173" w:rsidRDefault="00000000">
      <w:pPr>
        <w:spacing w:line="480" w:lineRule="auto"/>
        <w:jc w:val="center"/>
      </w:pPr>
      <w:r>
        <w:t>Dr. Krista Krause</w:t>
      </w:r>
    </w:p>
    <w:p w14:paraId="6513E698" w14:textId="77777777" w:rsidR="00586173" w:rsidRDefault="00000000">
      <w:pPr>
        <w:spacing w:line="480" w:lineRule="auto"/>
        <w:jc w:val="center"/>
      </w:pPr>
      <w:r>
        <w:t>10/4/22</w:t>
      </w:r>
    </w:p>
    <w:p w14:paraId="47824756" w14:textId="77777777" w:rsidR="00586173" w:rsidRDefault="00000000">
      <w:pPr>
        <w:spacing w:line="480" w:lineRule="auto"/>
        <w:jc w:val="center"/>
      </w:pPr>
      <w:r>
        <w:t> </w:t>
      </w:r>
    </w:p>
    <w:p w14:paraId="6BF77A38" w14:textId="77777777" w:rsidR="00586173" w:rsidRDefault="00000000">
      <w:pPr>
        <w:spacing w:line="480" w:lineRule="auto"/>
        <w:jc w:val="center"/>
      </w:pPr>
      <w:r>
        <w:rPr>
          <w:b/>
          <w:bCs/>
        </w:rPr>
        <w:t> </w:t>
      </w:r>
    </w:p>
    <w:p w14:paraId="1018973B" w14:textId="77777777" w:rsidR="00586173" w:rsidRDefault="00000000">
      <w:pPr>
        <w:spacing w:line="480" w:lineRule="auto"/>
        <w:jc w:val="center"/>
      </w:pPr>
      <w:r>
        <w:rPr>
          <w:b/>
          <w:bCs/>
        </w:rPr>
        <w:t> </w:t>
      </w:r>
    </w:p>
    <w:p w14:paraId="1A6E60AB" w14:textId="77777777" w:rsidR="00586173" w:rsidRDefault="00000000">
      <w:pPr>
        <w:spacing w:line="480" w:lineRule="auto"/>
        <w:jc w:val="center"/>
      </w:pPr>
      <w:r>
        <w:rPr>
          <w:b/>
          <w:bCs/>
        </w:rPr>
        <w:t> </w:t>
      </w:r>
    </w:p>
    <w:p w14:paraId="177F365F" w14:textId="77777777" w:rsidR="00586173" w:rsidRDefault="00000000">
      <w:pPr>
        <w:spacing w:line="480" w:lineRule="auto"/>
        <w:jc w:val="center"/>
      </w:pPr>
      <w:r>
        <w:rPr>
          <w:b/>
          <w:bCs/>
        </w:rPr>
        <w:t> </w:t>
      </w:r>
    </w:p>
    <w:p w14:paraId="0655A179" w14:textId="77777777" w:rsidR="00586173" w:rsidRDefault="00000000">
      <w:pPr>
        <w:spacing w:line="480" w:lineRule="auto"/>
        <w:jc w:val="center"/>
      </w:pPr>
      <w:r>
        <w:rPr>
          <w:b/>
          <w:bCs/>
        </w:rPr>
        <w:t> </w:t>
      </w:r>
    </w:p>
    <w:p w14:paraId="1E2052F6" w14:textId="77777777" w:rsidR="00586173" w:rsidRDefault="00000000">
      <w:pPr>
        <w:spacing w:line="480" w:lineRule="auto"/>
        <w:jc w:val="center"/>
      </w:pPr>
      <w:r>
        <w:rPr>
          <w:b/>
          <w:bCs/>
        </w:rPr>
        <w:t> </w:t>
      </w:r>
    </w:p>
    <w:p w14:paraId="591B5D17" w14:textId="77777777" w:rsidR="00586173" w:rsidRDefault="00000000">
      <w:pPr>
        <w:spacing w:line="480" w:lineRule="auto"/>
        <w:jc w:val="center"/>
      </w:pPr>
      <w:r>
        <w:rPr>
          <w:b/>
          <w:bCs/>
        </w:rPr>
        <w:t> </w:t>
      </w:r>
    </w:p>
    <w:p w14:paraId="09CF1E44" w14:textId="77777777" w:rsidR="00586173" w:rsidRDefault="00000000">
      <w:pPr>
        <w:spacing w:line="480" w:lineRule="auto"/>
        <w:jc w:val="center"/>
      </w:pPr>
      <w:r>
        <w:rPr>
          <w:b/>
          <w:bCs/>
        </w:rPr>
        <w:t> </w:t>
      </w:r>
    </w:p>
    <w:p w14:paraId="69C8C12F" w14:textId="77777777" w:rsidR="00586173" w:rsidRDefault="00000000">
      <w:pPr>
        <w:spacing w:line="480" w:lineRule="auto"/>
        <w:jc w:val="center"/>
      </w:pPr>
      <w:r>
        <w:rPr>
          <w:b/>
          <w:bCs/>
        </w:rPr>
        <w:t> </w:t>
      </w:r>
    </w:p>
    <w:p w14:paraId="55A827E7" w14:textId="77777777" w:rsidR="00586173" w:rsidRDefault="00000000">
      <w:pPr>
        <w:spacing w:line="480" w:lineRule="auto"/>
        <w:jc w:val="center"/>
      </w:pPr>
      <w:r>
        <w:rPr>
          <w:b/>
          <w:bCs/>
        </w:rPr>
        <w:t> </w:t>
      </w:r>
    </w:p>
    <w:p w14:paraId="2F0F9E1D" w14:textId="77777777" w:rsidR="00586173" w:rsidRDefault="00000000">
      <w:pPr>
        <w:spacing w:line="480" w:lineRule="auto"/>
        <w:jc w:val="center"/>
      </w:pPr>
      <w:r>
        <w:rPr>
          <w:b/>
          <w:bCs/>
        </w:rPr>
        <w:t> </w:t>
      </w:r>
    </w:p>
    <w:p w14:paraId="0531862C" w14:textId="77777777" w:rsidR="00586173" w:rsidRDefault="00000000">
      <w:pPr>
        <w:spacing w:line="480" w:lineRule="auto"/>
        <w:jc w:val="center"/>
      </w:pPr>
      <w:r>
        <w:rPr>
          <w:b/>
          <w:bCs/>
        </w:rPr>
        <w:t> </w:t>
      </w:r>
    </w:p>
    <w:p w14:paraId="57F4EBF9" w14:textId="77777777" w:rsidR="00586173" w:rsidRDefault="00000000">
      <w:pPr>
        <w:spacing w:line="480" w:lineRule="auto"/>
        <w:jc w:val="center"/>
      </w:pPr>
      <w:r>
        <w:rPr>
          <w:b/>
          <w:bCs/>
        </w:rPr>
        <w:t> </w:t>
      </w:r>
    </w:p>
    <w:p w14:paraId="6A0D8CD1" w14:textId="77777777" w:rsidR="00586173" w:rsidRDefault="00000000">
      <w:pPr>
        <w:spacing w:line="480" w:lineRule="auto"/>
        <w:jc w:val="center"/>
      </w:pPr>
      <w:r>
        <w:rPr>
          <w:b/>
          <w:bCs/>
        </w:rPr>
        <w:t>Week 6 Assignment 1: Population-Specific Health Promotion and Disease Prevention Paper</w:t>
      </w:r>
    </w:p>
    <w:p w14:paraId="24E01434" w14:textId="77777777" w:rsidR="00586173" w:rsidRDefault="00000000">
      <w:pPr>
        <w:spacing w:line="480" w:lineRule="auto"/>
      </w:pPr>
      <w:r>
        <w:rPr>
          <w:color w:val="373A3C"/>
        </w:rPr>
        <w:t xml:space="preserve">Section 1 </w:t>
      </w:r>
    </w:p>
    <w:p w14:paraId="4373E668" w14:textId="77777777" w:rsidR="00586173" w:rsidRDefault="00000000">
      <w:pPr>
        <w:numPr>
          <w:ilvl w:val="0"/>
          <w:numId w:val="4"/>
        </w:numPr>
        <w:pBdr>
          <w:left w:val="none" w:sz="0" w:space="4" w:color="auto"/>
        </w:pBdr>
        <w:spacing w:before="280" w:line="480" w:lineRule="auto"/>
        <w:ind w:left="1890"/>
        <w:rPr>
          <w:color w:val="373A3C"/>
        </w:rPr>
      </w:pPr>
      <w:r>
        <w:rPr>
          <w:color w:val="373A3C"/>
        </w:rPr>
        <w:t xml:space="preserve">Introduction </w:t>
      </w:r>
    </w:p>
    <w:p w14:paraId="505B039D" w14:textId="77777777" w:rsidR="00586173" w:rsidRDefault="00000000">
      <w:pPr>
        <w:numPr>
          <w:ilvl w:val="1"/>
          <w:numId w:val="4"/>
        </w:numPr>
        <w:pBdr>
          <w:left w:val="none" w:sz="0" w:space="13" w:color="auto"/>
        </w:pBdr>
        <w:spacing w:line="480" w:lineRule="auto"/>
        <w:ind w:left="2835" w:hanging="487"/>
        <w:rPr>
          <w:color w:val="373A3C"/>
        </w:rPr>
      </w:pPr>
      <w:r>
        <w:rPr>
          <w:color w:val="373A3C"/>
        </w:rPr>
        <w:t>WHO’s the definition of health</w:t>
      </w:r>
    </w:p>
    <w:p w14:paraId="4EA68416" w14:textId="77777777" w:rsidR="00586173" w:rsidRDefault="00000000">
      <w:pPr>
        <w:spacing w:line="480" w:lineRule="auto"/>
        <w:ind w:firstLine="720"/>
      </w:pPr>
      <w:r>
        <w:t xml:space="preserve">The World Health Organization (WHO) defines health as complete mental, social, and physical well-being and not merely the absence of infirmity and disease (World Health Organization, </w:t>
      </w:r>
      <w:proofErr w:type="spellStart"/>
      <w:r>
        <w:t>n.d</w:t>
      </w:r>
      <w:proofErr w:type="spellEnd"/>
      <w:r>
        <w:t xml:space="preserve">). According to WHO, the absence of illnesses cannot be utilized as an exclusive indication of a healthy person when part of the person, including mental, social, or physical, is ailing in some aspect. My definition of health denotes that health is the holistic well-being of an individual in all their spheres of life that enables them to live a quality life and function effectively without being hindered by any disease or health conditions. Both my definition of health and that of WHO are similar in that they emphasize the overall well-being of an individual in all the areas of functionality, which might otherwise be undermined by disease or health conditions. </w:t>
      </w:r>
    </w:p>
    <w:p w14:paraId="652628F7" w14:textId="77777777" w:rsidR="00586173" w:rsidRDefault="00000000">
      <w:pPr>
        <w:numPr>
          <w:ilvl w:val="0"/>
          <w:numId w:val="5"/>
        </w:numPr>
        <w:pBdr>
          <w:left w:val="none" w:sz="0" w:space="13" w:color="auto"/>
        </w:pBdr>
        <w:spacing w:before="280" w:line="480" w:lineRule="auto"/>
        <w:ind w:left="2835" w:hanging="553"/>
        <w:rPr>
          <w:color w:val="373A3C"/>
        </w:rPr>
      </w:pPr>
      <w:r>
        <w:rPr>
          <w:color w:val="373A3C"/>
        </w:rPr>
        <w:t>Applying the WHO’s definition of health to your vulnerable population.</w:t>
      </w:r>
    </w:p>
    <w:p w14:paraId="03FE77EE" w14:textId="77777777" w:rsidR="00586173" w:rsidRDefault="00000000">
      <w:pPr>
        <w:spacing w:before="280" w:line="480" w:lineRule="auto"/>
        <w:ind w:firstLine="720"/>
      </w:pPr>
      <w:r>
        <w:t xml:space="preserve">According to WHO, the absence of illnesses cannot be utilized as an exclusive indication of a healthy person when part of the person, including mental, social, or physical, is ailing in some aspect. Individuals with traumatic brain injury are at significant risk of living with some problems that impact their ability to work, besides changing the way an individual feel, acts, thinks, or learns (NINDS, 2022)—as such, applying the WHO’s definition of health to my vulnerable population means that this population’s cognitive, behavioral, and emotional complications involved after the accident should be addressed to deem them healthy. </w:t>
      </w:r>
    </w:p>
    <w:p w14:paraId="544BA406" w14:textId="77777777" w:rsidR="00586173" w:rsidRDefault="00000000">
      <w:pPr>
        <w:numPr>
          <w:ilvl w:val="0"/>
          <w:numId w:val="6"/>
        </w:numPr>
        <w:pBdr>
          <w:left w:val="none" w:sz="0" w:space="13" w:color="auto"/>
        </w:pBdr>
        <w:spacing w:before="280" w:line="480" w:lineRule="auto"/>
        <w:ind w:left="2835" w:hanging="620"/>
        <w:rPr>
          <w:color w:val="373A3C"/>
        </w:rPr>
      </w:pPr>
      <w:r>
        <w:rPr>
          <w:color w:val="373A3C"/>
        </w:rPr>
        <w:t>The concept of vulnerable individuals and populations, in general, is related to your specific group.</w:t>
      </w:r>
    </w:p>
    <w:p w14:paraId="74E06DB7" w14:textId="77777777" w:rsidR="00586173" w:rsidRDefault="00000000">
      <w:pPr>
        <w:spacing w:before="280" w:line="480" w:lineRule="auto"/>
        <w:ind w:firstLine="720"/>
      </w:pPr>
      <w:r>
        <w:rPr>
          <w:color w:val="373A3C"/>
        </w:rPr>
        <w:t xml:space="preserve">The vulnerable population is individuals at risk of being harmed, injured, or facing challenges in accessing quality healthcare services and living a quality life. A Traumatic Brain Injury (TBI) can occur following a forceful blow, bump, or jolt to the head or from an object that pierces the skull and enters the brain. Individuals who survive TBI tend to experience short term </w:t>
      </w:r>
      <w:r>
        <w:rPr>
          <w:b/>
          <w:bCs/>
          <w:color w:val="373A3C"/>
        </w:rPr>
        <w:t>[&lt;&lt;The following sentence seems to be incomplete, Martin. Consider revising it.]</w:t>
      </w:r>
      <w:r>
        <w:rPr>
          <w:color w:val="373A3C"/>
        </w:rPr>
        <w:t xml:space="preserve">. In contrast, others experience long-term problems that impact all their aspects of life, including the ability to build a relationship with others ability to work, besides changing the way an individual feel, acts and thinks, or learns (NINDS, 2022)—adapting to life after TBI is usually challenging due to the cognitive, behavioral, and emotional complications involved. Specifically, individuals with TBI tend to have most of their needs unmet and have less access to resources due to their physical </w:t>
      </w:r>
      <w:proofErr w:type="gramStart"/>
      <w:r>
        <w:rPr>
          <w:color w:val="373A3C"/>
        </w:rPr>
        <w:t>vulnerability.</w:t>
      </w:r>
      <w:r>
        <w:t>.</w:t>
      </w:r>
      <w:proofErr w:type="gramEnd"/>
    </w:p>
    <w:p w14:paraId="60DE0921" w14:textId="77777777" w:rsidR="00586173" w:rsidRDefault="00000000">
      <w:pPr>
        <w:numPr>
          <w:ilvl w:val="0"/>
          <w:numId w:val="7"/>
        </w:numPr>
        <w:pBdr>
          <w:left w:val="none" w:sz="0" w:space="4" w:color="auto"/>
        </w:pBdr>
        <w:spacing w:before="280" w:line="480" w:lineRule="auto"/>
        <w:ind w:left="1890"/>
        <w:rPr>
          <w:color w:val="373A3C"/>
        </w:rPr>
      </w:pPr>
      <w:r>
        <w:rPr>
          <w:color w:val="373A3C"/>
        </w:rPr>
        <w:t>Historical Perspectives of Health</w:t>
      </w:r>
    </w:p>
    <w:p w14:paraId="4111165F" w14:textId="77777777" w:rsidR="00586173" w:rsidRDefault="00000000">
      <w:pPr>
        <w:spacing w:before="280" w:line="480" w:lineRule="auto"/>
        <w:ind w:firstLine="720"/>
      </w:pPr>
      <w:r>
        <w:rPr>
          <w:color w:val="373A3C"/>
        </w:rPr>
        <w:t xml:space="preserve">The earlier health perspectives were based on the absence of diseases and injury. However, in 1948 the WHO changed the perspective of health by defining health as a state of complete physical, </w:t>
      </w:r>
      <w:proofErr w:type="gramStart"/>
      <w:r>
        <w:rPr>
          <w:color w:val="373A3C"/>
        </w:rPr>
        <w:t>mental</w:t>
      </w:r>
      <w:proofErr w:type="gramEnd"/>
      <w:r>
        <w:rPr>
          <w:color w:val="373A3C"/>
        </w:rPr>
        <w:t xml:space="preserve"> and social well-being and not merely the absence of disease or infirmity. </w:t>
      </w:r>
      <w:r>
        <w:rPr>
          <w:b/>
          <w:bCs/>
          <w:color w:val="373A3C"/>
        </w:rPr>
        <w:t>[&lt;&lt;Build on the content to convey to the reader why the historical perspective on health was modified by WHO?]</w:t>
      </w:r>
    </w:p>
    <w:p w14:paraId="47941D1E" w14:textId="77777777" w:rsidR="00586173" w:rsidRDefault="00000000">
      <w:pPr>
        <w:numPr>
          <w:ilvl w:val="0"/>
          <w:numId w:val="8"/>
        </w:numPr>
        <w:pBdr>
          <w:left w:val="none" w:sz="0" w:space="4" w:color="auto"/>
        </w:pBdr>
        <w:spacing w:before="280" w:line="480" w:lineRule="auto"/>
        <w:ind w:left="1890"/>
        <w:rPr>
          <w:color w:val="373A3C"/>
        </w:rPr>
      </w:pPr>
      <w:r>
        <w:rPr>
          <w:color w:val="373A3C"/>
        </w:rPr>
        <w:t xml:space="preserve">Levels of Prevention – overview, brief </w:t>
      </w:r>
    </w:p>
    <w:p w14:paraId="182DE33D" w14:textId="77777777" w:rsidR="00586173" w:rsidRDefault="00000000">
      <w:pPr>
        <w:numPr>
          <w:ilvl w:val="1"/>
          <w:numId w:val="8"/>
        </w:numPr>
        <w:pBdr>
          <w:left w:val="none" w:sz="0" w:space="13" w:color="auto"/>
        </w:pBdr>
        <w:spacing w:line="480" w:lineRule="auto"/>
        <w:ind w:left="2835" w:hanging="487"/>
        <w:rPr>
          <w:color w:val="373A3C"/>
        </w:rPr>
      </w:pPr>
      <w:r>
        <w:rPr>
          <w:color w:val="373A3C"/>
        </w:rPr>
        <w:t>Primordial</w:t>
      </w:r>
    </w:p>
    <w:p w14:paraId="33735EBF" w14:textId="77777777" w:rsidR="00586173" w:rsidRDefault="00000000">
      <w:pPr>
        <w:spacing w:before="280" w:line="480" w:lineRule="auto"/>
        <w:ind w:firstLine="720"/>
      </w:pPr>
      <w:r>
        <w:rPr>
          <w:color w:val="373A3C"/>
        </w:rPr>
        <w:t xml:space="preserve">Primordial prevention involves risk factor reduction targeted toward an entire population through a focus on social and environmental conditions. </w:t>
      </w:r>
    </w:p>
    <w:p w14:paraId="6C069914" w14:textId="77777777" w:rsidR="00586173" w:rsidRDefault="00000000">
      <w:pPr>
        <w:numPr>
          <w:ilvl w:val="0"/>
          <w:numId w:val="9"/>
        </w:numPr>
        <w:pBdr>
          <w:left w:val="none" w:sz="0" w:space="13" w:color="auto"/>
        </w:pBdr>
        <w:spacing w:before="280" w:line="480" w:lineRule="auto"/>
        <w:ind w:left="2835" w:hanging="553"/>
        <w:rPr>
          <w:color w:val="373A3C"/>
        </w:rPr>
      </w:pPr>
      <w:r>
        <w:rPr>
          <w:color w:val="373A3C"/>
        </w:rPr>
        <w:t>Primary</w:t>
      </w:r>
    </w:p>
    <w:p w14:paraId="542B9059" w14:textId="77777777" w:rsidR="00586173" w:rsidRDefault="00000000">
      <w:pPr>
        <w:spacing w:before="280" w:line="480" w:lineRule="auto"/>
        <w:ind w:firstLine="720"/>
      </w:pPr>
      <w:r>
        <w:rPr>
          <w:color w:val="373A3C"/>
        </w:rPr>
        <w:t>Primary prevention consists of measures aimed at a susceptible population or individuals with the intent of preventing the disease from ever occurring.</w:t>
      </w:r>
    </w:p>
    <w:p w14:paraId="264D7861" w14:textId="77777777" w:rsidR="00586173" w:rsidRDefault="00000000">
      <w:pPr>
        <w:numPr>
          <w:ilvl w:val="0"/>
          <w:numId w:val="10"/>
        </w:numPr>
        <w:pBdr>
          <w:left w:val="none" w:sz="0" w:space="13" w:color="auto"/>
        </w:pBdr>
        <w:spacing w:before="280" w:line="480" w:lineRule="auto"/>
        <w:ind w:left="2835" w:hanging="620"/>
        <w:rPr>
          <w:color w:val="373A3C"/>
        </w:rPr>
      </w:pPr>
      <w:r>
        <w:rPr>
          <w:color w:val="373A3C"/>
        </w:rPr>
        <w:t>Secondary</w:t>
      </w:r>
    </w:p>
    <w:p w14:paraId="050FF71C" w14:textId="77777777" w:rsidR="00586173" w:rsidRDefault="00000000">
      <w:pPr>
        <w:spacing w:before="280" w:line="480" w:lineRule="auto"/>
        <w:ind w:firstLine="720"/>
      </w:pPr>
      <w:r>
        <w:rPr>
          <w:color w:val="373A3C"/>
        </w:rPr>
        <w:t xml:space="preserve">Secondary prevention emphasizes early detection, and its target is healthy-appearing individuals with subclinical forms of the disease. </w:t>
      </w:r>
    </w:p>
    <w:p w14:paraId="5087A6CB" w14:textId="77777777" w:rsidR="00586173" w:rsidRDefault="00000000">
      <w:pPr>
        <w:numPr>
          <w:ilvl w:val="0"/>
          <w:numId w:val="11"/>
        </w:numPr>
        <w:pBdr>
          <w:left w:val="none" w:sz="0" w:space="13" w:color="auto"/>
        </w:pBdr>
        <w:spacing w:before="280" w:line="480" w:lineRule="auto"/>
        <w:ind w:left="2835" w:hanging="607"/>
        <w:rPr>
          <w:color w:val="373A3C"/>
        </w:rPr>
      </w:pPr>
      <w:r>
        <w:rPr>
          <w:color w:val="373A3C"/>
        </w:rPr>
        <w:t>Tertiary</w:t>
      </w:r>
    </w:p>
    <w:p w14:paraId="7F16875E" w14:textId="77777777" w:rsidR="00586173" w:rsidRDefault="00000000">
      <w:pPr>
        <w:spacing w:before="280" w:line="480" w:lineRule="auto"/>
        <w:ind w:firstLine="720"/>
      </w:pPr>
      <w:r>
        <w:rPr>
          <w:color w:val="373A3C"/>
        </w:rPr>
        <w:t xml:space="preserve">Tertiary prevention targets both the clinical and outcomes stages of a disease and is implemented in symptomatic patients and aims at reducing the severity of the illness besides any other related sequelae. </w:t>
      </w:r>
    </w:p>
    <w:p w14:paraId="1E54283F" w14:textId="77777777" w:rsidR="00586173" w:rsidRDefault="00000000">
      <w:pPr>
        <w:numPr>
          <w:ilvl w:val="0"/>
          <w:numId w:val="12"/>
        </w:numPr>
        <w:pBdr>
          <w:left w:val="none" w:sz="0" w:space="13" w:color="auto"/>
        </w:pBdr>
        <w:spacing w:before="280" w:line="480" w:lineRule="auto"/>
        <w:ind w:left="2835" w:hanging="540"/>
        <w:rPr>
          <w:color w:val="373A3C"/>
        </w:rPr>
      </w:pPr>
      <w:r>
        <w:rPr>
          <w:color w:val="373A3C"/>
        </w:rPr>
        <w:t>Quaternary</w:t>
      </w:r>
    </w:p>
    <w:p w14:paraId="1D98BF8C" w14:textId="77777777" w:rsidR="00586173" w:rsidRDefault="00000000">
      <w:pPr>
        <w:spacing w:before="280" w:line="480" w:lineRule="auto"/>
        <w:ind w:firstLine="720"/>
      </w:pPr>
      <w:r>
        <w:rPr>
          <w:color w:val="373A3C"/>
        </w:rPr>
        <w:t xml:space="preserve">Quaternary prevention action is taken to identify patients at risk of overmedicalization, protect them from new medical invasion, and ethically acceptable suggestion interventions. Also defined as actions taken to protect individuals from medical interventions that are likely to cause more harm than good. </w:t>
      </w:r>
    </w:p>
    <w:p w14:paraId="07F91C5A" w14:textId="77777777" w:rsidR="00586173" w:rsidRDefault="00000000">
      <w:pPr>
        <w:numPr>
          <w:ilvl w:val="0"/>
          <w:numId w:val="13"/>
        </w:numPr>
        <w:pBdr>
          <w:left w:val="none" w:sz="0" w:space="4" w:color="auto"/>
        </w:pBdr>
        <w:spacing w:before="280" w:line="480" w:lineRule="auto"/>
        <w:rPr>
          <w:color w:val="373A3C"/>
        </w:rPr>
      </w:pPr>
      <w:r>
        <w:rPr>
          <w:color w:val="373A3C"/>
        </w:rPr>
        <w:t>The role of nursing, specifically APRNs, in health promotion and disease prevention, and advocacy</w:t>
      </w:r>
    </w:p>
    <w:p w14:paraId="7AC16EE6" w14:textId="77777777" w:rsidR="00586173" w:rsidRDefault="00000000">
      <w:pPr>
        <w:numPr>
          <w:ilvl w:val="0"/>
          <w:numId w:val="13"/>
        </w:numPr>
        <w:pBdr>
          <w:left w:val="none" w:sz="0" w:space="4" w:color="auto"/>
        </w:pBdr>
        <w:spacing w:line="480" w:lineRule="auto"/>
        <w:rPr>
          <w:color w:val="373A3C"/>
        </w:rPr>
      </w:pPr>
      <w:r>
        <w:rPr>
          <w:color w:val="373A3C"/>
        </w:rPr>
        <w:t>The Advanced Practice Registered Nurses (APRN) primary role is to adopt evidence-based approaches to address the health needs of the individuals they serve within the community. The APRNs are responsible for adhering to the care processes involving patient assessment, illness diagnoses, treatment, and engaging in effective chronic disease management. The APRNs are trained and equipped with essential skills that can enable them to address the health needs of the community residents through different approaches. For instance, APRNs can offer effective health education to the community residents regarding addressing the other health issues or infections that may be distressing the community residents (</w:t>
      </w:r>
      <w:proofErr w:type="spellStart"/>
      <w:r>
        <w:rPr>
          <w:color w:val="373A3C"/>
        </w:rPr>
        <w:t>Munira</w:t>
      </w:r>
      <w:proofErr w:type="spellEnd"/>
      <w:r>
        <w:rPr>
          <w:color w:val="373A3C"/>
        </w:rPr>
        <w:t xml:space="preserve"> et al., 2020). For instance, following the outbreak of the COVID-19 pandemic, APRNs were responsible for engaging their patient population and educating them on the diverse, practical approaches to preventing the contraction of the virus. Besides, APRNs go a step further towards advising and encouraging their patients on the need and benefit of accepting chronic illnesses, making treatment cooperation and compliance easier. Section 2 </w:t>
      </w:r>
    </w:p>
    <w:p w14:paraId="69C87553" w14:textId="77777777" w:rsidR="00586173" w:rsidRDefault="00000000">
      <w:pPr>
        <w:numPr>
          <w:ilvl w:val="1"/>
          <w:numId w:val="13"/>
        </w:numPr>
        <w:pBdr>
          <w:left w:val="none" w:sz="0" w:space="4" w:color="auto"/>
        </w:pBdr>
        <w:spacing w:line="480" w:lineRule="auto"/>
        <w:ind w:left="1890"/>
        <w:rPr>
          <w:color w:val="373A3C"/>
        </w:rPr>
      </w:pPr>
      <w:r>
        <w:rPr>
          <w:color w:val="373A3C"/>
        </w:rPr>
        <w:t>Health disparities related to your vulnerable group</w:t>
      </w:r>
    </w:p>
    <w:p w14:paraId="4A49D016" w14:textId="77777777" w:rsidR="00586173" w:rsidRDefault="00000000">
      <w:pPr>
        <w:spacing w:before="280" w:line="480" w:lineRule="auto"/>
        <w:ind w:firstLine="720"/>
      </w:pPr>
      <w:r>
        <w:t xml:space="preserve">Adapting to life after TBI is usually challenging due to the cognitive, behavioral, and emotional complications involved. Assessing the physical vulnerability of individuals with TBI is significant as it reveals the primary characteristics that make them vulnerable. Specifically, individuals with TBI tend to have most of their needs unmet and have less access to resources due to their physical vulnerability. It is worth noting that when TBI occurs, the survivors tend to receive basic healthcare and mental health services before being discharged back to the community and before achieving complete independence. Besides, the reimbursement services add to the vulnerability of these individuals as they don’t cater to the care plans required to help them regain their independence </w:t>
      </w:r>
      <w:r>
        <w:rPr>
          <w:b/>
          <w:bCs/>
        </w:rPr>
        <w:t>[&lt;&lt;You have used a contraction in this sentence. Seeing as your paper is a formal academic essay, the use of contractions is inappropriate. To revise, replace the contraction with the two-worded version. For example, "do not".]</w:t>
      </w:r>
      <w:r>
        <w:t xml:space="preserve">. As a result, following the occurrence of TBI, the survivors, together with their caregivers, are forced to implement strategies to deal with the language, cognitive, personal plights, and physical problems occurring because of TBI (NINDS, 2022). </w:t>
      </w:r>
    </w:p>
    <w:p w14:paraId="0CC0BB28" w14:textId="77777777" w:rsidR="00586173" w:rsidRDefault="00000000">
      <w:pPr>
        <w:numPr>
          <w:ilvl w:val="0"/>
          <w:numId w:val="14"/>
        </w:numPr>
        <w:pBdr>
          <w:left w:val="none" w:sz="0" w:space="4" w:color="auto"/>
        </w:pBdr>
        <w:spacing w:before="280" w:line="480" w:lineRule="auto"/>
        <w:ind w:left="1890"/>
        <w:rPr>
          <w:color w:val="373A3C"/>
        </w:rPr>
      </w:pPr>
      <w:r>
        <w:rPr>
          <w:color w:val="373A3C"/>
        </w:rPr>
        <w:t>Cultural competency as a provider</w:t>
      </w:r>
    </w:p>
    <w:p w14:paraId="58D894DE" w14:textId="77777777" w:rsidR="00586173" w:rsidRDefault="00000000">
      <w:pPr>
        <w:spacing w:before="280" w:line="480" w:lineRule="auto"/>
        <w:ind w:firstLine="720"/>
      </w:pPr>
      <w:r>
        <w:rPr>
          <w:color w:val="373A3C"/>
        </w:rPr>
        <w:t xml:space="preserve">Cultural competence as a provider is the ability of providers to effectively deliver health care services that meet the social, cultural, and linguistic needs of patients. As a healthcare provider working with individuals with TBI, it is significant to ensure that I restructure care plans to ensure that they fit these populations considering that they are already facing the challenge of cognitive, physical, behavioral, and even emotional challenges. </w:t>
      </w:r>
    </w:p>
    <w:p w14:paraId="07D3F05A" w14:textId="77777777" w:rsidR="00586173" w:rsidRDefault="00000000">
      <w:pPr>
        <w:numPr>
          <w:ilvl w:val="0"/>
          <w:numId w:val="15"/>
        </w:numPr>
        <w:pBdr>
          <w:left w:val="none" w:sz="0" w:space="4" w:color="auto"/>
        </w:pBdr>
        <w:spacing w:before="280" w:line="480" w:lineRule="auto"/>
        <w:ind w:left="1890"/>
        <w:rPr>
          <w:color w:val="373A3C"/>
        </w:rPr>
      </w:pPr>
      <w:r>
        <w:rPr>
          <w:color w:val="373A3C"/>
        </w:rPr>
        <w:t>Defining resilience and applying it to the vulnerable, specifically to your group</w:t>
      </w:r>
    </w:p>
    <w:p w14:paraId="68B86F28" w14:textId="77777777" w:rsidR="00586173" w:rsidRDefault="00000000">
      <w:pPr>
        <w:spacing w:before="280" w:line="480" w:lineRule="auto"/>
        <w:ind w:firstLine="585"/>
      </w:pPr>
      <w:r>
        <w:t>Resilience is the ability of individuals facing difficulties head-on, and instead of falling into despair, they adopt healthy coping mechanisms to help them recover. Individuals with traumatic brain injury are faced with several social determinants of health that impacts their physical health, mental health, as well as their social health (</w:t>
      </w:r>
      <w:r>
        <w:rPr>
          <w:color w:val="222222"/>
          <w:shd w:val="clear" w:color="auto" w:fill="FFFFFF"/>
        </w:rPr>
        <w:t>Butkus et al., 2020</w:t>
      </w:r>
      <w:r>
        <w:t>). Due to their health condition, these individuals are prone to various health problems, including sleeping challenges, depression, and anxiety, besides alcohol and substance abuse. I believe that individuals with traumatic brain injury are very resilient and innovative, which helps them cope with the changes associated with TBI and adopt effective strategies to assist them with adjusting to life. Specifically, these individuals tend to tap into resiliency skills, including a sense of agency, assertiveness, health, and life goals, and positively adapting to life following the TBI.</w:t>
      </w:r>
    </w:p>
    <w:p w14:paraId="068D2FCB" w14:textId="77777777" w:rsidR="00586173" w:rsidRDefault="00000000">
      <w:pPr>
        <w:numPr>
          <w:ilvl w:val="0"/>
          <w:numId w:val="16"/>
        </w:numPr>
        <w:pBdr>
          <w:left w:val="none" w:sz="0" w:space="4" w:color="auto"/>
        </w:pBdr>
        <w:spacing w:before="280" w:line="480" w:lineRule="auto"/>
        <w:ind w:left="945"/>
        <w:rPr>
          <w:color w:val="373A3C"/>
        </w:rPr>
      </w:pPr>
      <w:r>
        <w:rPr>
          <w:color w:val="373A3C"/>
        </w:rPr>
        <w:t xml:space="preserve">Section 3 </w:t>
      </w:r>
    </w:p>
    <w:p w14:paraId="716F458D" w14:textId="77777777" w:rsidR="00586173" w:rsidRDefault="00000000">
      <w:pPr>
        <w:numPr>
          <w:ilvl w:val="1"/>
          <w:numId w:val="16"/>
        </w:numPr>
        <w:pBdr>
          <w:left w:val="none" w:sz="0" w:space="4" w:color="auto"/>
        </w:pBdr>
        <w:spacing w:line="480" w:lineRule="auto"/>
        <w:ind w:left="1890"/>
        <w:rPr>
          <w:color w:val="373A3C"/>
        </w:rPr>
      </w:pPr>
      <w:r>
        <w:rPr>
          <w:color w:val="373A3C"/>
        </w:rPr>
        <w:t>Using Mechanic and Tanner’s 2005 article, is your vulnerable population a sinner or a victim, and why?</w:t>
      </w:r>
    </w:p>
    <w:p w14:paraId="54CC2503" w14:textId="77777777" w:rsidR="00586173" w:rsidRDefault="00000000">
      <w:pPr>
        <w:spacing w:before="280" w:line="480" w:lineRule="auto"/>
        <w:ind w:firstLine="720"/>
      </w:pPr>
      <w:r>
        <w:rPr>
          <w:color w:val="373A3C"/>
        </w:rPr>
        <w:t xml:space="preserve">According to Mechanic and Tanner’s 2005 article, individuals with TBI are victims because they don’t have control over their vulnerability, as accidents can occur even where one is </w:t>
      </w:r>
      <w:proofErr w:type="gramStart"/>
      <w:r>
        <w:rPr>
          <w:color w:val="373A3C"/>
        </w:rPr>
        <w:t>cautious</w:t>
      </w:r>
      <w:proofErr w:type="gramEnd"/>
      <w:r>
        <w:rPr>
          <w:color w:val="373A3C"/>
        </w:rPr>
        <w:t xml:space="preserve"> and they aren’t predetermined. The public can show compassion to individuals with TBI and less stigma. </w:t>
      </w:r>
    </w:p>
    <w:p w14:paraId="36B4C86B" w14:textId="77777777" w:rsidR="00586173" w:rsidRDefault="00000000">
      <w:pPr>
        <w:numPr>
          <w:ilvl w:val="0"/>
          <w:numId w:val="17"/>
        </w:numPr>
        <w:pBdr>
          <w:left w:val="none" w:sz="0" w:space="4" w:color="auto"/>
        </w:pBdr>
        <w:spacing w:before="280" w:line="480" w:lineRule="auto"/>
        <w:ind w:left="1890"/>
        <w:rPr>
          <w:color w:val="373A3C"/>
        </w:rPr>
      </w:pPr>
      <w:r>
        <w:rPr>
          <w:color w:val="373A3C"/>
        </w:rPr>
        <w:t>Social justice related to your population</w:t>
      </w:r>
    </w:p>
    <w:p w14:paraId="50799307" w14:textId="77777777" w:rsidR="00586173" w:rsidRDefault="00000000">
      <w:pPr>
        <w:spacing w:before="280" w:line="480" w:lineRule="auto"/>
        <w:ind w:firstLine="720"/>
      </w:pPr>
      <w:r>
        <w:t>Social justice provides that everyone within the society is entitled to equal rights and opportunities, thus guaranteeing health equity irrespective of the status within the community. Resultantly, the principles of social justice call for equal rights for the vulnerable population regardless of the extent of their vulnerability. Distributive justice provides that individuals should be able to obtain health services based on their needs and resource availability, concept. Individuals with TBI should be able to access care services that sufficiently address their health needs. The free market economy, on the other hand, notes that the prices of healthcare goods and services are set freely by agreement between patients and healthcare providers. These justice concepts promote the access and acquisition of effective TBI care services that help this vulnerable population in regaining the lives they had before the occurrence of TBI.</w:t>
      </w:r>
    </w:p>
    <w:p w14:paraId="630A4B6F" w14:textId="77777777" w:rsidR="00586173" w:rsidRDefault="00000000">
      <w:pPr>
        <w:numPr>
          <w:ilvl w:val="0"/>
          <w:numId w:val="18"/>
        </w:numPr>
        <w:pBdr>
          <w:left w:val="none" w:sz="0" w:space="4" w:color="auto"/>
        </w:pBdr>
        <w:spacing w:before="280" w:line="480" w:lineRule="auto"/>
        <w:ind w:left="1890"/>
        <w:rPr>
          <w:color w:val="373A3C"/>
        </w:rPr>
      </w:pPr>
      <w:r>
        <w:rPr>
          <w:color w:val="373A3C"/>
        </w:rPr>
        <w:t>Low literacy within your population and how this affects their health</w:t>
      </w:r>
    </w:p>
    <w:p w14:paraId="1CFCBDA3" w14:textId="77777777" w:rsidR="00586173" w:rsidRDefault="00000000">
      <w:pPr>
        <w:spacing w:before="280" w:line="480" w:lineRule="auto"/>
        <w:ind w:firstLine="720"/>
      </w:pPr>
      <w:r>
        <w:t xml:space="preserve">Following the occurrence of TBI, the survivors, together with their caregivers, are forced to implement strategies to deal with the language, cognitive, personal plights, and physical problems occurring because of TBI (NINDS, 2022). Low health literacy has been linked to resulting in numerous adverse health outcomes, including poor health outcomes, lack of effective engagement and cooperation between the healthcare providers and the patients, besides an increase in mortality and hospitalization rates. As such, low health literacy among individuals living with TBI undermines their knowledge of their health condition. It fails to seek appropriate care services for addressing and managing their health conditions resulting in poor health outcomes. </w:t>
      </w:r>
    </w:p>
    <w:p w14:paraId="2703E7AA" w14:textId="77777777" w:rsidR="00586173" w:rsidRDefault="00000000">
      <w:pPr>
        <w:numPr>
          <w:ilvl w:val="0"/>
          <w:numId w:val="19"/>
        </w:numPr>
        <w:pBdr>
          <w:left w:val="none" w:sz="0" w:space="4" w:color="auto"/>
        </w:pBdr>
        <w:spacing w:before="280" w:line="480" w:lineRule="auto"/>
        <w:ind w:left="1890"/>
        <w:rPr>
          <w:color w:val="373A3C"/>
        </w:rPr>
      </w:pPr>
      <w:r>
        <w:rPr>
          <w:color w:val="373A3C"/>
        </w:rPr>
        <w:t>Evaluate your vulnerable population related to current Healthy People Initiative guidelines – what specifically relates to your group</w:t>
      </w:r>
    </w:p>
    <w:p w14:paraId="5BDB293E" w14:textId="77777777" w:rsidR="00586173" w:rsidRDefault="00000000">
      <w:pPr>
        <w:spacing w:before="280" w:line="480" w:lineRule="auto"/>
        <w:ind w:firstLine="720"/>
      </w:pPr>
      <w:r>
        <w:rPr>
          <w:color w:val="373A3C"/>
        </w:rPr>
        <w:t>Individuals with TBI relate to the current healthy people initiative guidelines on access to health services and injury and violence prevention. Specifically, there is a need to promote comprehensive, quality healthcare services and achieve health equity for all Americans, including individuals with TBI. For this population, it is essential to address the barrier linked to inadequate or no insurance coverage and lack of culturally competent care that will effectively address their unmet health needs. Concerning injury prevention, the healthy people initiative guidelines recommend promoting access to injury-related care, including prehospital, acute care, and rehabilitation care services.  </w:t>
      </w:r>
    </w:p>
    <w:p w14:paraId="01CA0A1E" w14:textId="77777777" w:rsidR="00586173" w:rsidRDefault="00000000">
      <w:pPr>
        <w:numPr>
          <w:ilvl w:val="0"/>
          <w:numId w:val="20"/>
        </w:numPr>
        <w:pBdr>
          <w:left w:val="none" w:sz="0" w:space="4" w:color="auto"/>
        </w:pBdr>
        <w:spacing w:before="280" w:line="480" w:lineRule="auto"/>
        <w:ind w:left="1890"/>
        <w:rPr>
          <w:color w:val="373A3C"/>
        </w:rPr>
      </w:pPr>
      <w:r>
        <w:rPr>
          <w:color w:val="373A3C"/>
        </w:rPr>
        <w:t>Discuss one primary health concern for your population and include the preventive guideline related to this concern and how you might motivate this group to make behavioral changes.</w:t>
      </w:r>
    </w:p>
    <w:p w14:paraId="3EF2C52A" w14:textId="77777777" w:rsidR="00586173" w:rsidRDefault="00000000">
      <w:pPr>
        <w:spacing w:line="480" w:lineRule="auto"/>
        <w:ind w:firstLine="720"/>
      </w:pPr>
      <w:r>
        <w:t>My primary health concern for individuals with traumatic brain injury is the development of anxiety and depression. Notably, the occurrence of TBI results in the reduction of an individual’s ability to function independently without requiring the assistance of other individuals. Considering that the treatment plan doesn’t promote complete independence, these individuals become subject to depression and anxiety. Promoting self-knowledge, problem-solving and emotion, and emotional regulation among this population can help achieve positive health outcomes. Middle-range concept theory would be the most suitable theory for promoting changes among the vulnerable population, considering that they adopt a holistic approach to addressing an individual’s health needs and improving their quality of life (Chesnay &amp; Anderson, 2020).</w:t>
      </w:r>
    </w:p>
    <w:p w14:paraId="0282B2CE" w14:textId="77777777" w:rsidR="00586173" w:rsidRDefault="00000000">
      <w:pPr>
        <w:numPr>
          <w:ilvl w:val="0"/>
          <w:numId w:val="21"/>
        </w:numPr>
        <w:pBdr>
          <w:left w:val="none" w:sz="0" w:space="6" w:color="auto"/>
        </w:pBdr>
        <w:spacing w:before="280" w:line="480" w:lineRule="auto"/>
        <w:ind w:left="1890"/>
        <w:rPr>
          <w:color w:val="373A3C"/>
        </w:rPr>
      </w:pPr>
      <w:r>
        <w:rPr>
          <w:color w:val="373A3C"/>
        </w:rPr>
        <w:t>Discuss what resources are available within your community for your specific population. How can community-level plans/interventions influence individual and family health?</w:t>
      </w:r>
    </w:p>
    <w:p w14:paraId="6B124B72" w14:textId="77777777" w:rsidR="00586173" w:rsidRDefault="00000000">
      <w:pPr>
        <w:spacing w:before="280" w:line="480" w:lineRule="auto"/>
        <w:ind w:firstLine="585"/>
      </w:pPr>
      <w:r>
        <w:rPr>
          <w:color w:val="373A3C"/>
        </w:rPr>
        <w:t xml:space="preserve">Various resources are available within my community to benefit individuals with TBI. Some of the resources include the availability of caregivers who supports individuals with TBI in their transition process. Besides, the community provides re-entry programs geared towards developing higher motor, social and cognitive skills with the intent of preparing individuals with TBI in their transition process. Besides, different outpatient physical, occupational, or speech therapy helps promote the transition following TBI. These community plans and interventions are significant in positively impacting individuals and families following the occurrence of a health need. </w:t>
      </w:r>
    </w:p>
    <w:p w14:paraId="37E5409D" w14:textId="77777777" w:rsidR="00586173" w:rsidRDefault="00000000">
      <w:pPr>
        <w:numPr>
          <w:ilvl w:val="0"/>
          <w:numId w:val="22"/>
        </w:numPr>
        <w:pBdr>
          <w:left w:val="none" w:sz="0" w:space="4" w:color="auto"/>
        </w:pBdr>
        <w:spacing w:before="280" w:line="480" w:lineRule="auto"/>
        <w:ind w:left="945"/>
        <w:rPr>
          <w:color w:val="373A3C"/>
        </w:rPr>
      </w:pPr>
      <w:r>
        <w:rPr>
          <w:color w:val="373A3C"/>
        </w:rPr>
        <w:t xml:space="preserve">Section 4 </w:t>
      </w:r>
    </w:p>
    <w:p w14:paraId="70EC9CAD" w14:textId="77777777" w:rsidR="00586173" w:rsidRDefault="00000000">
      <w:pPr>
        <w:numPr>
          <w:ilvl w:val="1"/>
          <w:numId w:val="22"/>
        </w:numPr>
        <w:pBdr>
          <w:left w:val="none" w:sz="0" w:space="4" w:color="auto"/>
        </w:pBdr>
        <w:spacing w:line="480" w:lineRule="auto"/>
        <w:ind w:left="1890"/>
        <w:rPr>
          <w:color w:val="373A3C"/>
        </w:rPr>
      </w:pPr>
      <w:r>
        <w:rPr>
          <w:color w:val="373A3C"/>
        </w:rPr>
        <w:t>Discuss an approach for improving health literacy within your population</w:t>
      </w:r>
    </w:p>
    <w:p w14:paraId="40438A4A" w14:textId="77777777" w:rsidR="00586173" w:rsidRDefault="00000000">
      <w:pPr>
        <w:spacing w:before="280" w:line="480" w:lineRule="auto"/>
        <w:ind w:firstLine="720"/>
      </w:pPr>
      <w:r>
        <w:t xml:space="preserve">As an APRN, I can increase the overall health literacy of individuals living with TBI by planning and organizing health education programs and TBI identification sessions geared towards addressing the health needs of this vulnerable population. During the health education sessions, the APRN should educate the patient on the most effective self-care practices considering their recovery and management of their condition depends on their ability to self-care. Health literacy needs are met by responsive health education and communication strategies (Cesar et al., 2022). As such, the APRN will be responsible for devising an effective communication and health education plan to enhance the delivery of the target TBI management content. </w:t>
      </w:r>
    </w:p>
    <w:p w14:paraId="7A1D1305" w14:textId="77777777" w:rsidR="00586173" w:rsidRDefault="00000000">
      <w:pPr>
        <w:numPr>
          <w:ilvl w:val="0"/>
          <w:numId w:val="23"/>
        </w:numPr>
        <w:pBdr>
          <w:left w:val="none" w:sz="0" w:space="4" w:color="auto"/>
        </w:pBdr>
        <w:spacing w:before="280" w:line="480" w:lineRule="auto"/>
        <w:ind w:left="1890"/>
        <w:rPr>
          <w:color w:val="373A3C"/>
        </w:rPr>
      </w:pPr>
      <w:r>
        <w:rPr>
          <w:color w:val="373A3C"/>
        </w:rPr>
        <w:t>Discuss how, as an APRN, you can impact vulnerable individuals in your community.</w:t>
      </w:r>
    </w:p>
    <w:p w14:paraId="486F945D" w14:textId="77777777" w:rsidR="00586173" w:rsidRDefault="00000000">
      <w:pPr>
        <w:spacing w:line="480" w:lineRule="auto"/>
        <w:ind w:firstLine="360"/>
      </w:pPr>
      <w:r>
        <w:t>APRNs and other healthcare providers have the opportunity of promoting positive outcomes among individuals with TBI. In increasing the depth and breadth of the support and advocacy for individuals with TBI, APRNs need a base of knowledge that includes the understanding of the TBI survivors’ needs, vulnerabilities, and obstacles to their adaptation (NINDS, 2022). One of the advocacy roles that the APRNs can adopt is teaching and supporting the TBI survivors within the community through partnering with them and their families in care planning (NINDS, 2022). Specifically, following the hospital discharge, the TBI survivors and their families require support in adapting and learning how to effectively care for the survivors and ensure that their quality of life is intact.</w:t>
      </w:r>
    </w:p>
    <w:p w14:paraId="7B9B7CD6" w14:textId="77777777" w:rsidR="00586173" w:rsidRDefault="00000000">
      <w:pPr>
        <w:spacing w:line="480" w:lineRule="auto"/>
        <w:ind w:firstLine="360"/>
      </w:pPr>
      <w:r>
        <w:t>APRNs can also recommend the integration of thorough and comprehensive survivors’ needs assessment which will help in identifying the specific needs that the survivors have and recommending the most appropriate strategies for caring for these patients (Othman et al., 2021). A thorough assessment will be significant in identifying health needs and guiding the adoption of the most appropriate diagnosis and treatment plan. Besides, the APRNs can recommend the resources, clinical guidelines, and community agencies that individuals with TBI can benefit from in addressing their needs (Centers for Disease Control and Prevention, 2022). Implementing the above advocacy strategies will significantly reduce the TBI survivors’ physical vulnerability and the linked quality of life.</w:t>
      </w:r>
    </w:p>
    <w:p w14:paraId="171121C5" w14:textId="77777777" w:rsidR="00586173" w:rsidRDefault="00000000">
      <w:pPr>
        <w:numPr>
          <w:ilvl w:val="0"/>
          <w:numId w:val="24"/>
        </w:numPr>
        <w:pBdr>
          <w:left w:val="none" w:sz="0" w:space="4" w:color="auto"/>
        </w:pBdr>
        <w:spacing w:before="280" w:line="480" w:lineRule="auto"/>
        <w:ind w:left="1890"/>
        <w:rPr>
          <w:color w:val="373A3C"/>
        </w:rPr>
      </w:pPr>
      <w:r>
        <w:rPr>
          <w:color w:val="373A3C"/>
        </w:rPr>
        <w:t>Conclude with a summary of how we are doing with health promotion and disease prevention.</w:t>
      </w:r>
    </w:p>
    <w:p w14:paraId="07493825" w14:textId="77777777" w:rsidR="00586173" w:rsidRDefault="00000000">
      <w:pPr>
        <w:spacing w:before="280" w:line="480" w:lineRule="auto"/>
        <w:ind w:firstLine="720"/>
      </w:pPr>
      <w:r>
        <w:rPr>
          <w:color w:val="373A3C"/>
        </w:rPr>
        <w:t xml:space="preserve">The United States has made drastic efforts and strides toward health promotion and disease prevention. Specifically, the country has developed evidence-based approaches to identifying risk factors and interventions for preventing diseases and injuries. Besides, the government has invested heavily in health promotion, including the </w:t>
      </w:r>
      <w:proofErr w:type="gramStart"/>
      <w:r>
        <w:rPr>
          <w:color w:val="373A3C"/>
        </w:rPr>
        <w:t>drafting</w:t>
      </w:r>
      <w:proofErr w:type="gramEnd"/>
      <w:r>
        <w:rPr>
          <w:color w:val="373A3C"/>
        </w:rPr>
        <w:t xml:space="preserve"> and implementing health policies geared toward promoting healthy practices among the citizens. Health promotion services, including patient education, have been adopted and incorporated as part of routine care, enhancing the country’s efforts toward health promotion and disease prevention initiatives. However, the government has gaps to seal regarding promoting health equity and access to healthcare services for all citizens, especially vulnerable populations. </w:t>
      </w:r>
    </w:p>
    <w:p w14:paraId="1EFB920D" w14:textId="77777777" w:rsidR="00586173" w:rsidRDefault="00000000">
      <w:pPr>
        <w:spacing w:before="280" w:line="480" w:lineRule="auto"/>
        <w:jc w:val="center"/>
      </w:pPr>
      <w:r>
        <w:rPr>
          <w:b/>
          <w:bCs/>
          <w:color w:val="373A3C"/>
        </w:rPr>
        <w:t> </w:t>
      </w:r>
    </w:p>
    <w:p w14:paraId="341EAF73" w14:textId="77777777" w:rsidR="00586173" w:rsidRDefault="00000000">
      <w:pPr>
        <w:spacing w:before="280" w:line="480" w:lineRule="auto"/>
        <w:jc w:val="center"/>
      </w:pPr>
      <w:r>
        <w:rPr>
          <w:b/>
          <w:bCs/>
          <w:color w:val="373A3C"/>
        </w:rPr>
        <w:t>References</w:t>
      </w:r>
    </w:p>
    <w:p w14:paraId="183DA77F" w14:textId="77777777" w:rsidR="00586173" w:rsidRDefault="00000000">
      <w:pPr>
        <w:spacing w:line="480" w:lineRule="auto"/>
      </w:pPr>
      <w:r>
        <w:t> </w:t>
      </w:r>
    </w:p>
    <w:p w14:paraId="104F6903" w14:textId="77777777" w:rsidR="00586173" w:rsidRDefault="00000000">
      <w:pPr>
        <w:spacing w:line="480" w:lineRule="auto"/>
        <w:ind w:left="720" w:hanging="720"/>
      </w:pPr>
      <w:r>
        <w:rPr>
          <w:color w:val="222222"/>
          <w:shd w:val="clear" w:color="auto" w:fill="FFFFFF"/>
        </w:rPr>
        <w:t xml:space="preserve">Butkus, R., Rapp, K., Cooney, T. G., Engel, L. S., &amp; </w:t>
      </w:r>
      <w:proofErr w:type="gramStart"/>
      <w:r>
        <w:rPr>
          <w:color w:val="222222"/>
          <w:shd w:val="clear" w:color="auto" w:fill="FFFFFF"/>
        </w:rPr>
        <w:t>Health</w:t>
      </w:r>
      <w:proofErr w:type="gramEnd"/>
      <w:r>
        <w:rPr>
          <w:color w:val="222222"/>
          <w:shd w:val="clear" w:color="auto" w:fill="FFFFFF"/>
        </w:rPr>
        <w:t xml:space="preserve"> and Public Policy Committee of the American College of Physicians*. (2020). Envisioning a better US health care system for all: reducing barriers to care and addressing social determinants of health. </w:t>
      </w:r>
      <w:r>
        <w:rPr>
          <w:i/>
          <w:iCs/>
          <w:color w:val="222222"/>
          <w:shd w:val="clear" w:color="auto" w:fill="FFFFFF"/>
        </w:rPr>
        <w:t>Annals of Internal Medicine</w:t>
      </w:r>
      <w:r>
        <w:rPr>
          <w:color w:val="222222"/>
          <w:shd w:val="clear" w:color="auto" w:fill="FFFFFF"/>
        </w:rPr>
        <w:t>, </w:t>
      </w:r>
      <w:r>
        <w:rPr>
          <w:i/>
          <w:iCs/>
          <w:color w:val="222222"/>
          <w:shd w:val="clear" w:color="auto" w:fill="FFFFFF"/>
        </w:rPr>
        <w:t>172</w:t>
      </w:r>
      <w:r>
        <w:rPr>
          <w:color w:val="222222"/>
          <w:shd w:val="clear" w:color="auto" w:fill="FFFFFF"/>
        </w:rPr>
        <w:t>(2_Supplement), S50-S59.</w:t>
      </w:r>
      <w:r>
        <w:t xml:space="preserve"> </w:t>
      </w:r>
      <w:hyperlink r:id="rId6" w:tgtFrame="_blank" w:history="1">
        <w:r>
          <w:rPr>
            <w:color w:val="0563C1"/>
            <w:u w:val="single" w:color="0563C1"/>
            <w:shd w:val="clear" w:color="auto" w:fill="FFFFFF"/>
          </w:rPr>
          <w:t>https://doi.org/10.7326/M19-2410</w:t>
        </w:r>
      </w:hyperlink>
      <w:r>
        <w:rPr>
          <w:color w:val="222222"/>
          <w:shd w:val="clear" w:color="auto" w:fill="FFFFFF"/>
        </w:rPr>
        <w:t xml:space="preserve"> </w:t>
      </w:r>
    </w:p>
    <w:p w14:paraId="517C6291" w14:textId="77777777" w:rsidR="00586173" w:rsidRDefault="00000000">
      <w:pPr>
        <w:spacing w:line="480" w:lineRule="auto"/>
        <w:ind w:left="720" w:hanging="720"/>
      </w:pPr>
      <w:r>
        <w:t>Centers for Disease Control and Prevention. (2021, May 12). </w:t>
      </w:r>
      <w:r>
        <w:rPr>
          <w:i/>
          <w:iCs/>
        </w:rPr>
        <w:t>Health disparities and TBI</w:t>
      </w:r>
      <w:r>
        <w:t>. </w:t>
      </w:r>
      <w:hyperlink r:id="rId7" w:tgtFrame="_blank" w:history="1">
        <w:r>
          <w:rPr>
            <w:color w:val="0563C1"/>
            <w:u w:val="single" w:color="0563C1"/>
          </w:rPr>
          <w:t>https://www.cdc.gov/traumaticbraininjury/health-disparities-tbi.html</w:t>
        </w:r>
      </w:hyperlink>
      <w:r>
        <w:t xml:space="preserve"> </w:t>
      </w:r>
    </w:p>
    <w:p w14:paraId="2BDE43A5" w14:textId="77777777" w:rsidR="00586173" w:rsidRDefault="00000000">
      <w:pPr>
        <w:spacing w:line="480" w:lineRule="auto"/>
        <w:ind w:left="720" w:hanging="720"/>
      </w:pPr>
      <w:r>
        <w:t xml:space="preserve">Cesar, F. C. R., </w:t>
      </w:r>
      <w:proofErr w:type="spellStart"/>
      <w:r>
        <w:t>Moraes</w:t>
      </w:r>
      <w:proofErr w:type="spellEnd"/>
      <w:r>
        <w:t xml:space="preserve">, K. L., </w:t>
      </w:r>
      <w:proofErr w:type="spellStart"/>
      <w:r>
        <w:t>Brasil</w:t>
      </w:r>
      <w:proofErr w:type="spellEnd"/>
      <w:r>
        <w:t xml:space="preserve">, V. V., Alves, A. G., Barbosa, M. A., &amp; Oliveira, L. M. de A. C. (2022). Professional Responsiveness to Health Literacy: A Scoping Review. </w:t>
      </w:r>
      <w:r>
        <w:rPr>
          <w:i/>
          <w:iCs/>
        </w:rPr>
        <w:t>HLRP: Health Literacy Research and Practice</w:t>
      </w:r>
      <w:r>
        <w:t xml:space="preserve">, </w:t>
      </w:r>
      <w:r>
        <w:rPr>
          <w:i/>
          <w:iCs/>
        </w:rPr>
        <w:t>6</w:t>
      </w:r>
      <w:r>
        <w:t xml:space="preserve">(2). </w:t>
      </w:r>
      <w:hyperlink r:id="rId8" w:tgtFrame="_blank" w:history="1">
        <w:r>
          <w:rPr>
            <w:color w:val="0563C1"/>
            <w:u w:val="single" w:color="0563C1"/>
          </w:rPr>
          <w:t>https://doi.org/10.3928/24748307-20220418-02</w:t>
        </w:r>
      </w:hyperlink>
      <w:r>
        <w:t xml:space="preserve"> </w:t>
      </w:r>
    </w:p>
    <w:p w14:paraId="08D5EB29" w14:textId="77777777" w:rsidR="00586173" w:rsidRDefault="00000000">
      <w:pPr>
        <w:spacing w:line="480" w:lineRule="auto"/>
        <w:ind w:left="720" w:hanging="720"/>
      </w:pPr>
      <w:r>
        <w:t>Chesnay, M. D., &amp; Anderson, B. A. (2020). Caring for the vulnerable: Perspectives in nursing theory, practice, and research (5th ed.). Jones &amp; Bartlett Learning.</w:t>
      </w:r>
    </w:p>
    <w:p w14:paraId="11AB2BAF" w14:textId="77777777" w:rsidR="00586173" w:rsidRDefault="00000000">
      <w:pPr>
        <w:spacing w:line="480" w:lineRule="auto"/>
        <w:ind w:left="720" w:hanging="720"/>
      </w:pPr>
      <w:proofErr w:type="spellStart"/>
      <w:r>
        <w:t>Munira</w:t>
      </w:r>
      <w:proofErr w:type="spellEnd"/>
      <w:r>
        <w:t>, A., Al-</w:t>
      </w:r>
      <w:proofErr w:type="spellStart"/>
      <w:r>
        <w:t>RUmhi</w:t>
      </w:r>
      <w:proofErr w:type="spellEnd"/>
      <w:r>
        <w:t xml:space="preserve">, &amp; </w:t>
      </w:r>
      <w:proofErr w:type="spellStart"/>
      <w:r>
        <w:t>Aldiabat</w:t>
      </w:r>
      <w:proofErr w:type="spellEnd"/>
      <w:r>
        <w:t>, K. M. (2020). </w:t>
      </w:r>
      <w:r>
        <w:rPr>
          <w:i/>
          <w:iCs/>
        </w:rPr>
        <w:t>The Promising Health Promotion Role of Advanced Practice Nurses in the Sultanate of Oman</w:t>
      </w:r>
      <w:r>
        <w:t xml:space="preserve">. ResearchGate | Find and share research. </w:t>
      </w:r>
      <w:hyperlink r:id="rId9" w:tgtFrame="_blank" w:history="1">
        <w:r>
          <w:rPr>
            <w:color w:val="0563C1"/>
            <w:u w:val="single" w:color="0563C1"/>
          </w:rPr>
          <w:t>https://www.researchgate.net/publication/346716665_The_Promising_Health_Promotion_Role_of_Advanced_Practice_Nurses_in_the_Sultanate_of_Oman#</w:t>
        </w:r>
      </w:hyperlink>
    </w:p>
    <w:p w14:paraId="6EB79D5B" w14:textId="77777777" w:rsidR="00586173" w:rsidRDefault="00000000">
      <w:pPr>
        <w:spacing w:line="480" w:lineRule="auto"/>
        <w:ind w:left="720" w:hanging="720"/>
      </w:pPr>
      <w:r>
        <w:t>NINDS. (2022). </w:t>
      </w:r>
      <w:r>
        <w:rPr>
          <w:i/>
          <w:iCs/>
        </w:rPr>
        <w:t>Traumatic brain injury</w:t>
      </w:r>
      <w:r>
        <w:t>. National Institute of Neurological Disorders and Stroke. </w:t>
      </w:r>
      <w:hyperlink r:id="rId10" w:tgtFrame="_blank" w:history="1">
        <w:r>
          <w:rPr>
            <w:color w:val="0563C1"/>
            <w:u w:val="single" w:color="0563C1"/>
          </w:rPr>
          <w:t>https://www.ninds.nih.gov/health-information/disorders/traumatic-brain-injury?search-term=traumatic%20brain%20injury</w:t>
        </w:r>
      </w:hyperlink>
      <w:r>
        <w:t xml:space="preserve"> </w:t>
      </w:r>
    </w:p>
    <w:p w14:paraId="151CA286" w14:textId="77777777" w:rsidR="00586173" w:rsidRDefault="00000000">
      <w:pPr>
        <w:spacing w:line="480" w:lineRule="auto"/>
        <w:ind w:left="720" w:hanging="720"/>
      </w:pPr>
      <w:r>
        <w:rPr>
          <w:color w:val="222222"/>
          <w:shd w:val="clear" w:color="auto" w:fill="FFFFFF"/>
        </w:rPr>
        <w:t xml:space="preserve">Othman, H., </w:t>
      </w:r>
      <w:proofErr w:type="spellStart"/>
      <w:r>
        <w:rPr>
          <w:color w:val="222222"/>
          <w:shd w:val="clear" w:color="auto" w:fill="FFFFFF"/>
        </w:rPr>
        <w:t>Ludin</w:t>
      </w:r>
      <w:proofErr w:type="spellEnd"/>
      <w:r>
        <w:rPr>
          <w:color w:val="222222"/>
          <w:shd w:val="clear" w:color="auto" w:fill="FFFFFF"/>
        </w:rPr>
        <w:t xml:space="preserve">, S. M., </w:t>
      </w:r>
      <w:proofErr w:type="spellStart"/>
      <w:r>
        <w:rPr>
          <w:color w:val="222222"/>
          <w:shd w:val="clear" w:color="auto" w:fill="FFFFFF"/>
        </w:rPr>
        <w:t>Saidi</w:t>
      </w:r>
      <w:proofErr w:type="spellEnd"/>
      <w:r>
        <w:rPr>
          <w:color w:val="222222"/>
          <w:shd w:val="clear" w:color="auto" w:fill="FFFFFF"/>
        </w:rPr>
        <w:t>, S., &amp; Awang, M. S. (2021). The needs of traumatic brain injury survivors' caregivers and the implication required during the COVID-19 pandemic: Public health issues. </w:t>
      </w:r>
      <w:r>
        <w:rPr>
          <w:i/>
          <w:iCs/>
          <w:color w:val="222222"/>
          <w:shd w:val="clear" w:color="auto" w:fill="FFFFFF"/>
        </w:rPr>
        <w:t>Journal of public health research</w:t>
      </w:r>
      <w:r>
        <w:rPr>
          <w:color w:val="222222"/>
          <w:shd w:val="clear" w:color="auto" w:fill="FFFFFF"/>
        </w:rPr>
        <w:t>, </w:t>
      </w:r>
      <w:r>
        <w:rPr>
          <w:i/>
          <w:iCs/>
          <w:color w:val="222222"/>
          <w:shd w:val="clear" w:color="auto" w:fill="FFFFFF"/>
        </w:rPr>
        <w:t>10</w:t>
      </w:r>
      <w:r>
        <w:rPr>
          <w:color w:val="222222"/>
          <w:shd w:val="clear" w:color="auto" w:fill="FFFFFF"/>
        </w:rPr>
        <w:t>(2), jphr-2021.</w:t>
      </w:r>
      <w:r>
        <w:t xml:space="preserve"> </w:t>
      </w:r>
      <w:hyperlink r:id="rId11" w:tgtFrame="_blank" w:history="1">
        <w:r>
          <w:rPr>
            <w:color w:val="0563C1"/>
            <w:u w:val="single" w:color="0563C1"/>
            <w:shd w:val="clear" w:color="auto" w:fill="FFFFFF"/>
          </w:rPr>
          <w:t>https://doi.org/10.4081%2Fjphr.2021.2205</w:t>
        </w:r>
      </w:hyperlink>
      <w:r>
        <w:rPr>
          <w:color w:val="222222"/>
          <w:shd w:val="clear" w:color="auto" w:fill="FFFFFF"/>
        </w:rPr>
        <w:t xml:space="preserve"> </w:t>
      </w:r>
    </w:p>
    <w:p w14:paraId="0693A8E7" w14:textId="77777777" w:rsidR="00586173" w:rsidRDefault="00000000">
      <w:pPr>
        <w:spacing w:line="480" w:lineRule="auto"/>
        <w:ind w:left="720" w:hanging="720"/>
      </w:pPr>
      <w:r>
        <w:t>World Health Organization. (</w:t>
      </w:r>
      <w:proofErr w:type="spellStart"/>
      <w:r>
        <w:t>n.d</w:t>
      </w:r>
      <w:proofErr w:type="spellEnd"/>
      <w:r>
        <w:t xml:space="preserve">). Constitution-WHO remains firmly committed to the principles set out in the preamble to the Constitution. </w:t>
      </w:r>
      <w:r>
        <w:rPr>
          <w:i/>
          <w:iCs/>
        </w:rPr>
        <w:t>World Health Organization, Inc</w:t>
      </w:r>
      <w:r>
        <w:t xml:space="preserve">. Available at: </w:t>
      </w:r>
      <w:hyperlink r:id="rId12" w:tgtFrame="_blank" w:history="1">
        <w:r>
          <w:rPr>
            <w:color w:val="0563C1"/>
            <w:u w:val="single" w:color="0563C1"/>
          </w:rPr>
          <w:t>https://www.who.int/about/governance/constitution</w:t>
        </w:r>
      </w:hyperlink>
      <w:r>
        <w:t xml:space="preserve"> </w:t>
      </w:r>
    </w:p>
    <w:sectPr w:rsidR="00586173">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65561338">
      <w:start w:val="1"/>
      <w:numFmt w:val="bullet"/>
      <w:lvlText w:val=""/>
      <w:lvlJc w:val="left"/>
      <w:pPr>
        <w:ind w:left="720" w:hanging="360"/>
      </w:pPr>
      <w:rPr>
        <w:rFonts w:ascii="Symbol" w:hAnsi="Symbol"/>
      </w:rPr>
    </w:lvl>
    <w:lvl w:ilvl="1" w:tplc="CC520302">
      <w:start w:val="1"/>
      <w:numFmt w:val="bullet"/>
      <w:lvlText w:val="o"/>
      <w:lvlJc w:val="left"/>
      <w:pPr>
        <w:tabs>
          <w:tab w:val="num" w:pos="1440"/>
        </w:tabs>
        <w:ind w:left="1440" w:hanging="360"/>
      </w:pPr>
      <w:rPr>
        <w:rFonts w:ascii="Courier New" w:hAnsi="Courier New"/>
      </w:rPr>
    </w:lvl>
    <w:lvl w:ilvl="2" w:tplc="BE9299BA">
      <w:start w:val="1"/>
      <w:numFmt w:val="bullet"/>
      <w:lvlText w:val=""/>
      <w:lvlJc w:val="left"/>
      <w:pPr>
        <w:tabs>
          <w:tab w:val="num" w:pos="2160"/>
        </w:tabs>
        <w:ind w:left="2160" w:hanging="360"/>
      </w:pPr>
      <w:rPr>
        <w:rFonts w:ascii="Wingdings" w:hAnsi="Wingdings"/>
      </w:rPr>
    </w:lvl>
    <w:lvl w:ilvl="3" w:tplc="10A4DFFA">
      <w:start w:val="1"/>
      <w:numFmt w:val="bullet"/>
      <w:lvlText w:val=""/>
      <w:lvlJc w:val="left"/>
      <w:pPr>
        <w:tabs>
          <w:tab w:val="num" w:pos="2880"/>
        </w:tabs>
        <w:ind w:left="2880" w:hanging="360"/>
      </w:pPr>
      <w:rPr>
        <w:rFonts w:ascii="Symbol" w:hAnsi="Symbol"/>
      </w:rPr>
    </w:lvl>
    <w:lvl w:ilvl="4" w:tplc="3D1E2EFC">
      <w:start w:val="1"/>
      <w:numFmt w:val="bullet"/>
      <w:lvlText w:val="o"/>
      <w:lvlJc w:val="left"/>
      <w:pPr>
        <w:tabs>
          <w:tab w:val="num" w:pos="3600"/>
        </w:tabs>
        <w:ind w:left="3600" w:hanging="360"/>
      </w:pPr>
      <w:rPr>
        <w:rFonts w:ascii="Courier New" w:hAnsi="Courier New"/>
      </w:rPr>
    </w:lvl>
    <w:lvl w:ilvl="5" w:tplc="062E8242">
      <w:start w:val="1"/>
      <w:numFmt w:val="bullet"/>
      <w:lvlText w:val=""/>
      <w:lvlJc w:val="left"/>
      <w:pPr>
        <w:tabs>
          <w:tab w:val="num" w:pos="4320"/>
        </w:tabs>
        <w:ind w:left="4320" w:hanging="360"/>
      </w:pPr>
      <w:rPr>
        <w:rFonts w:ascii="Wingdings" w:hAnsi="Wingdings"/>
      </w:rPr>
    </w:lvl>
    <w:lvl w:ilvl="6" w:tplc="7FEAADDC">
      <w:start w:val="1"/>
      <w:numFmt w:val="bullet"/>
      <w:lvlText w:val=""/>
      <w:lvlJc w:val="left"/>
      <w:pPr>
        <w:tabs>
          <w:tab w:val="num" w:pos="5040"/>
        </w:tabs>
        <w:ind w:left="5040" w:hanging="360"/>
      </w:pPr>
      <w:rPr>
        <w:rFonts w:ascii="Symbol" w:hAnsi="Symbol"/>
      </w:rPr>
    </w:lvl>
    <w:lvl w:ilvl="7" w:tplc="40182B68">
      <w:start w:val="1"/>
      <w:numFmt w:val="bullet"/>
      <w:lvlText w:val="o"/>
      <w:lvlJc w:val="left"/>
      <w:pPr>
        <w:tabs>
          <w:tab w:val="num" w:pos="5760"/>
        </w:tabs>
        <w:ind w:left="5760" w:hanging="360"/>
      </w:pPr>
      <w:rPr>
        <w:rFonts w:ascii="Courier New" w:hAnsi="Courier New"/>
      </w:rPr>
    </w:lvl>
    <w:lvl w:ilvl="8" w:tplc="96EA04D2">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20CC91E8">
      <w:start w:val="1"/>
      <w:numFmt w:val="bullet"/>
      <w:lvlText w:val=""/>
      <w:lvlJc w:val="left"/>
      <w:pPr>
        <w:ind w:left="720" w:hanging="360"/>
      </w:pPr>
      <w:rPr>
        <w:rFonts w:ascii="Symbol" w:hAnsi="Symbol"/>
      </w:rPr>
    </w:lvl>
    <w:lvl w:ilvl="1" w:tplc="08B210B6">
      <w:start w:val="1"/>
      <w:numFmt w:val="bullet"/>
      <w:lvlText w:val="o"/>
      <w:lvlJc w:val="left"/>
      <w:pPr>
        <w:tabs>
          <w:tab w:val="num" w:pos="1440"/>
        </w:tabs>
        <w:ind w:left="1440" w:hanging="360"/>
      </w:pPr>
      <w:rPr>
        <w:rFonts w:ascii="Courier New" w:hAnsi="Courier New"/>
      </w:rPr>
    </w:lvl>
    <w:lvl w:ilvl="2" w:tplc="6298EF6A">
      <w:start w:val="1"/>
      <w:numFmt w:val="bullet"/>
      <w:lvlText w:val=""/>
      <w:lvlJc w:val="left"/>
      <w:pPr>
        <w:tabs>
          <w:tab w:val="num" w:pos="2160"/>
        </w:tabs>
        <w:ind w:left="2160" w:hanging="360"/>
      </w:pPr>
      <w:rPr>
        <w:rFonts w:ascii="Wingdings" w:hAnsi="Wingdings"/>
      </w:rPr>
    </w:lvl>
    <w:lvl w:ilvl="3" w:tplc="558407E2">
      <w:start w:val="1"/>
      <w:numFmt w:val="bullet"/>
      <w:lvlText w:val=""/>
      <w:lvlJc w:val="left"/>
      <w:pPr>
        <w:tabs>
          <w:tab w:val="num" w:pos="2880"/>
        </w:tabs>
        <w:ind w:left="2880" w:hanging="360"/>
      </w:pPr>
      <w:rPr>
        <w:rFonts w:ascii="Symbol" w:hAnsi="Symbol"/>
      </w:rPr>
    </w:lvl>
    <w:lvl w:ilvl="4" w:tplc="E092DDFE">
      <w:start w:val="1"/>
      <w:numFmt w:val="bullet"/>
      <w:lvlText w:val="o"/>
      <w:lvlJc w:val="left"/>
      <w:pPr>
        <w:tabs>
          <w:tab w:val="num" w:pos="3600"/>
        </w:tabs>
        <w:ind w:left="3600" w:hanging="360"/>
      </w:pPr>
      <w:rPr>
        <w:rFonts w:ascii="Courier New" w:hAnsi="Courier New"/>
      </w:rPr>
    </w:lvl>
    <w:lvl w:ilvl="5" w:tplc="1742B498">
      <w:start w:val="1"/>
      <w:numFmt w:val="bullet"/>
      <w:lvlText w:val=""/>
      <w:lvlJc w:val="left"/>
      <w:pPr>
        <w:tabs>
          <w:tab w:val="num" w:pos="4320"/>
        </w:tabs>
        <w:ind w:left="4320" w:hanging="360"/>
      </w:pPr>
      <w:rPr>
        <w:rFonts w:ascii="Wingdings" w:hAnsi="Wingdings"/>
      </w:rPr>
    </w:lvl>
    <w:lvl w:ilvl="6" w:tplc="D060B0F6">
      <w:start w:val="1"/>
      <w:numFmt w:val="bullet"/>
      <w:lvlText w:val=""/>
      <w:lvlJc w:val="left"/>
      <w:pPr>
        <w:tabs>
          <w:tab w:val="num" w:pos="5040"/>
        </w:tabs>
        <w:ind w:left="5040" w:hanging="360"/>
      </w:pPr>
      <w:rPr>
        <w:rFonts w:ascii="Symbol" w:hAnsi="Symbol"/>
      </w:rPr>
    </w:lvl>
    <w:lvl w:ilvl="7" w:tplc="5C1ABCD2">
      <w:start w:val="1"/>
      <w:numFmt w:val="bullet"/>
      <w:lvlText w:val="o"/>
      <w:lvlJc w:val="left"/>
      <w:pPr>
        <w:tabs>
          <w:tab w:val="num" w:pos="5760"/>
        </w:tabs>
        <w:ind w:left="5760" w:hanging="360"/>
      </w:pPr>
      <w:rPr>
        <w:rFonts w:ascii="Courier New" w:hAnsi="Courier New"/>
      </w:rPr>
    </w:lvl>
    <w:lvl w:ilvl="8" w:tplc="63AE9B0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5A9C8BF6">
      <w:start w:val="1"/>
      <w:numFmt w:val="bullet"/>
      <w:lvlText w:val=""/>
      <w:lvlJc w:val="left"/>
      <w:pPr>
        <w:ind w:left="720" w:hanging="360"/>
      </w:pPr>
      <w:rPr>
        <w:rFonts w:ascii="Symbol" w:hAnsi="Symbol"/>
      </w:rPr>
    </w:lvl>
    <w:lvl w:ilvl="1" w:tplc="D2F81B84">
      <w:start w:val="1"/>
      <w:numFmt w:val="bullet"/>
      <w:lvlText w:val="o"/>
      <w:lvlJc w:val="left"/>
      <w:pPr>
        <w:tabs>
          <w:tab w:val="num" w:pos="1440"/>
        </w:tabs>
        <w:ind w:left="1440" w:hanging="360"/>
      </w:pPr>
      <w:rPr>
        <w:rFonts w:ascii="Courier New" w:hAnsi="Courier New"/>
      </w:rPr>
    </w:lvl>
    <w:lvl w:ilvl="2" w:tplc="DFF2DCF6">
      <w:start w:val="1"/>
      <w:numFmt w:val="bullet"/>
      <w:lvlText w:val=""/>
      <w:lvlJc w:val="left"/>
      <w:pPr>
        <w:tabs>
          <w:tab w:val="num" w:pos="2160"/>
        </w:tabs>
        <w:ind w:left="2160" w:hanging="360"/>
      </w:pPr>
      <w:rPr>
        <w:rFonts w:ascii="Wingdings" w:hAnsi="Wingdings"/>
      </w:rPr>
    </w:lvl>
    <w:lvl w:ilvl="3" w:tplc="858CD074">
      <w:start w:val="1"/>
      <w:numFmt w:val="bullet"/>
      <w:lvlText w:val=""/>
      <w:lvlJc w:val="left"/>
      <w:pPr>
        <w:tabs>
          <w:tab w:val="num" w:pos="2880"/>
        </w:tabs>
        <w:ind w:left="2880" w:hanging="360"/>
      </w:pPr>
      <w:rPr>
        <w:rFonts w:ascii="Symbol" w:hAnsi="Symbol"/>
      </w:rPr>
    </w:lvl>
    <w:lvl w:ilvl="4" w:tplc="66D21316">
      <w:start w:val="1"/>
      <w:numFmt w:val="bullet"/>
      <w:lvlText w:val="o"/>
      <w:lvlJc w:val="left"/>
      <w:pPr>
        <w:tabs>
          <w:tab w:val="num" w:pos="3600"/>
        </w:tabs>
        <w:ind w:left="3600" w:hanging="360"/>
      </w:pPr>
      <w:rPr>
        <w:rFonts w:ascii="Courier New" w:hAnsi="Courier New"/>
      </w:rPr>
    </w:lvl>
    <w:lvl w:ilvl="5" w:tplc="BACCB2CC">
      <w:start w:val="1"/>
      <w:numFmt w:val="bullet"/>
      <w:lvlText w:val=""/>
      <w:lvlJc w:val="left"/>
      <w:pPr>
        <w:tabs>
          <w:tab w:val="num" w:pos="4320"/>
        </w:tabs>
        <w:ind w:left="4320" w:hanging="360"/>
      </w:pPr>
      <w:rPr>
        <w:rFonts w:ascii="Wingdings" w:hAnsi="Wingdings"/>
      </w:rPr>
    </w:lvl>
    <w:lvl w:ilvl="6" w:tplc="E80A693C">
      <w:start w:val="1"/>
      <w:numFmt w:val="bullet"/>
      <w:lvlText w:val=""/>
      <w:lvlJc w:val="left"/>
      <w:pPr>
        <w:tabs>
          <w:tab w:val="num" w:pos="5040"/>
        </w:tabs>
        <w:ind w:left="5040" w:hanging="360"/>
      </w:pPr>
      <w:rPr>
        <w:rFonts w:ascii="Symbol" w:hAnsi="Symbol"/>
      </w:rPr>
    </w:lvl>
    <w:lvl w:ilvl="7" w:tplc="9ABC8910">
      <w:start w:val="1"/>
      <w:numFmt w:val="bullet"/>
      <w:lvlText w:val="o"/>
      <w:lvlJc w:val="left"/>
      <w:pPr>
        <w:tabs>
          <w:tab w:val="num" w:pos="5760"/>
        </w:tabs>
        <w:ind w:left="5760" w:hanging="360"/>
      </w:pPr>
      <w:rPr>
        <w:rFonts w:ascii="Courier New" w:hAnsi="Courier New"/>
      </w:rPr>
    </w:lvl>
    <w:lvl w:ilvl="8" w:tplc="BE2AD0A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multilevel"/>
    <w:tmpl w:val="0000000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2"/>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3"/>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2"/>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3"/>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2"/>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3"/>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4"/>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5"/>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2"/>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3"/>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00000011"/>
    <w:lvl w:ilvl="0">
      <w:start w:val="2"/>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3"/>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multilevel"/>
    <w:tmpl w:val="00000013"/>
    <w:lvl w:ilvl="0">
      <w:start w:val="4"/>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lvl w:ilvl="0">
      <w:start w:val="5"/>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00000015"/>
    <w:lvl w:ilvl="0">
      <w:start w:val="6"/>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6"/>
    <w:multiLevelType w:val="multilevel"/>
    <w:tmpl w:val="00000016"/>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17"/>
    <w:multiLevelType w:val="multilevel"/>
    <w:tmpl w:val="00000017"/>
    <w:lvl w:ilvl="0">
      <w:start w:val="2"/>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8"/>
    <w:multiLevelType w:val="multilevel"/>
    <w:tmpl w:val="00000018"/>
    <w:lvl w:ilvl="0">
      <w:start w:val="3"/>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75669898">
    <w:abstractNumId w:val="0"/>
  </w:num>
  <w:num w:numId="2" w16cid:durableId="999578527">
    <w:abstractNumId w:val="1"/>
  </w:num>
  <w:num w:numId="3" w16cid:durableId="2095276784">
    <w:abstractNumId w:val="2"/>
  </w:num>
  <w:num w:numId="4" w16cid:durableId="243690527">
    <w:abstractNumId w:val="3"/>
  </w:num>
  <w:num w:numId="5" w16cid:durableId="1292243338">
    <w:abstractNumId w:val="4"/>
  </w:num>
  <w:num w:numId="6" w16cid:durableId="1487670365">
    <w:abstractNumId w:val="5"/>
  </w:num>
  <w:num w:numId="7" w16cid:durableId="715278916">
    <w:abstractNumId w:val="6"/>
  </w:num>
  <w:num w:numId="8" w16cid:durableId="587538168">
    <w:abstractNumId w:val="7"/>
  </w:num>
  <w:num w:numId="9" w16cid:durableId="259601643">
    <w:abstractNumId w:val="8"/>
  </w:num>
  <w:num w:numId="10" w16cid:durableId="2102795110">
    <w:abstractNumId w:val="9"/>
  </w:num>
  <w:num w:numId="11" w16cid:durableId="1123117080">
    <w:abstractNumId w:val="10"/>
  </w:num>
  <w:num w:numId="12" w16cid:durableId="1357002240">
    <w:abstractNumId w:val="11"/>
  </w:num>
  <w:num w:numId="13" w16cid:durableId="1464691162">
    <w:abstractNumId w:val="12"/>
  </w:num>
  <w:num w:numId="14" w16cid:durableId="581375835">
    <w:abstractNumId w:val="13"/>
  </w:num>
  <w:num w:numId="15" w16cid:durableId="1243948507">
    <w:abstractNumId w:val="14"/>
  </w:num>
  <w:num w:numId="16" w16cid:durableId="262224796">
    <w:abstractNumId w:val="15"/>
  </w:num>
  <w:num w:numId="17" w16cid:durableId="828441785">
    <w:abstractNumId w:val="16"/>
  </w:num>
  <w:num w:numId="18" w16cid:durableId="437263427">
    <w:abstractNumId w:val="17"/>
  </w:num>
  <w:num w:numId="19" w16cid:durableId="1589269660">
    <w:abstractNumId w:val="18"/>
  </w:num>
  <w:num w:numId="20" w16cid:durableId="685642989">
    <w:abstractNumId w:val="19"/>
  </w:num>
  <w:num w:numId="21" w16cid:durableId="1173960372">
    <w:abstractNumId w:val="20"/>
  </w:num>
  <w:num w:numId="22" w16cid:durableId="837236270">
    <w:abstractNumId w:val="21"/>
  </w:num>
  <w:num w:numId="23" w16cid:durableId="296034506">
    <w:abstractNumId w:val="22"/>
  </w:num>
  <w:num w:numId="24" w16cid:durableId="27664801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173"/>
    <w:rsid w:val="003F344E"/>
    <w:rsid w:val="00586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FA072"/>
  <w15:docId w15:val="{02F82B1B-809B-403D-8AF6-1A260D72F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3928/24748307-20220418-0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dc.gov/traumaticbraininjury/health-disparities-tbi.html" TargetMode="External"/><Relationship Id="rId12" Type="http://schemas.openxmlformats.org/officeDocument/2006/relationships/hyperlink" Target="https://www.who.int/about/governance/constitu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7326/M19-2410" TargetMode="External"/><Relationship Id="rId11" Type="http://schemas.openxmlformats.org/officeDocument/2006/relationships/hyperlink" Target="https://doi.org/10.4081%2Fjphr.2021.2205" TargetMode="External"/><Relationship Id="rId5" Type="http://schemas.openxmlformats.org/officeDocument/2006/relationships/hyperlink" Target="https://services.smarthinking.com/static/document_library/docs/writeman/contents.cfm" TargetMode="External"/><Relationship Id="rId10" Type="http://schemas.openxmlformats.org/officeDocument/2006/relationships/hyperlink" Target="https://www.ninds.nih.gov/health-information/disorders/traumatic-brain-injury?search-term=traumatic%20brain%20injury" TargetMode="External"/><Relationship Id="rId4" Type="http://schemas.openxmlformats.org/officeDocument/2006/relationships/webSettings" Target="webSettings.xml"/><Relationship Id="rId9" Type="http://schemas.openxmlformats.org/officeDocument/2006/relationships/hyperlink" Target="https://www.researchgate.net/publication/346716665_The_Promising_Health_Promotion_Role_of_Advanced_Practice_Nurses_in_the_Sultanate_of_Oma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3342</Words>
  <Characters>19624</Characters>
  <Application>Microsoft Office Word</Application>
  <DocSecurity>0</DocSecurity>
  <Lines>350</Lines>
  <Paragraphs>102</Paragraphs>
  <ScaleCrop>false</ScaleCrop>
  <Company/>
  <LinksUpToDate>false</LinksUpToDate>
  <CharactersWithSpaces>22864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mutesasira</dc:creator>
  <cp:lastModifiedBy>martin mutesasira</cp:lastModifiedBy>
  <cp:revision>2</cp:revision>
  <dcterms:created xsi:type="dcterms:W3CDTF">2022-10-08T02:58:00Z</dcterms:created>
  <dcterms:modified xsi:type="dcterms:W3CDTF">2022-10-08T02:58:00Z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5d9bab1cb5abf1ef816bcde651ef7bac33b5d3325a09ea0818d9fc297c5c7c1c</vt:lpwstr>
  </property>
</Properties>
</file>