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5C" w:rsidRPr="0052053A" w:rsidRDefault="000C025C" w:rsidP="000C025C">
      <w:pPr>
        <w:spacing w:before="104" w:line="480" w:lineRule="auto"/>
        <w:ind w:left="101" w:right="214"/>
        <w:rPr>
          <w:b/>
          <w:bCs/>
          <w:sz w:val="24"/>
          <w:szCs w:val="24"/>
        </w:rPr>
      </w:pPr>
      <w:r w:rsidRPr="0052053A">
        <w:rPr>
          <w:b/>
          <w:bCs/>
          <w:sz w:val="24"/>
          <w:szCs w:val="24"/>
        </w:rPr>
        <w:t>Response 2</w:t>
      </w:r>
    </w:p>
    <w:p w:rsidR="000C025C" w:rsidRPr="00B051F0" w:rsidRDefault="000C025C" w:rsidP="000C025C">
      <w:pPr>
        <w:pStyle w:val="BodyText"/>
        <w:spacing w:before="2" w:line="480" w:lineRule="auto"/>
        <w:ind w:left="101" w:right="109" w:firstLine="720"/>
        <w:rPr>
          <w:color w:val="101010"/>
        </w:rPr>
      </w:pPr>
      <w:r>
        <w:rPr>
          <w:color w:val="101010"/>
        </w:rPr>
        <w:t>I</w:t>
      </w:r>
      <w:r w:rsidRPr="00B051F0">
        <w:rPr>
          <w:color w:val="101010"/>
        </w:rPr>
        <w:t>t may be difficult to suppress and utilize intense feelings toward a patient</w:t>
      </w:r>
      <w:r>
        <w:rPr>
          <w:color w:val="101010"/>
        </w:rPr>
        <w:t xml:space="preserve">. </w:t>
      </w:r>
      <w:r w:rsidRPr="00B051F0">
        <w:rPr>
          <w:color w:val="101010"/>
        </w:rPr>
        <w:t>Working closely with individuals who oppose change may elicit substantial countertransference responses. I can imagine a therapist provoking significant countertransference by favoring one patient over the others. I view patients as unique individuals with challenges in my practice, as their diverse backgrounds can generate countertransference. I know the significance of professional boundaries and care plans as a medical provider.</w:t>
      </w:r>
    </w:p>
    <w:p w:rsidR="000C025C" w:rsidRPr="009602A8" w:rsidRDefault="000C025C" w:rsidP="000C025C">
      <w:pPr>
        <w:pStyle w:val="BodyText"/>
        <w:spacing w:before="2" w:line="480" w:lineRule="auto"/>
        <w:ind w:left="101" w:right="109" w:firstLine="720"/>
        <w:rPr>
          <w:color w:val="101010"/>
        </w:rPr>
      </w:pPr>
      <w:proofErr w:type="spellStart"/>
      <w:r>
        <w:rPr>
          <w:color w:val="101010"/>
        </w:rPr>
        <w:t>Hansbury</w:t>
      </w:r>
      <w:proofErr w:type="spellEnd"/>
      <w:r>
        <w:rPr>
          <w:color w:val="101010"/>
        </w:rPr>
        <w:t xml:space="preserve"> (2017)</w:t>
      </w:r>
      <w:r w:rsidRPr="00B051F0">
        <w:rPr>
          <w:color w:val="101010"/>
        </w:rPr>
        <w:t xml:space="preserve"> recommends monitoring "one's treatment" for managing emotional responses. Lifelong supervision is preferable, but additional contact with a skilled therapist can aid in countertransference management. Supervision consists of regular meetings, similar to therapy sessions, to discuss "the therapist's therapeutic work"-related issues.</w:t>
      </w:r>
      <w:r>
        <w:rPr>
          <w:color w:val="101010"/>
        </w:rPr>
        <w:t xml:space="preserve"> </w:t>
      </w:r>
      <w:r w:rsidR="00677603">
        <w:t>Scott (2019</w:t>
      </w:r>
      <w:r>
        <w:t>)</w:t>
      </w:r>
      <w:r w:rsidRPr="00B051F0">
        <w:t xml:space="preserve"> observes that monitoring is frequently a "combination of the patient's and the therapist's difficulties" because the latter will significantly and frequently unconsciously influence therap</w:t>
      </w:r>
      <w:r>
        <w:t>y</w:t>
      </w:r>
      <w:r w:rsidRPr="00B051F0">
        <w:t>.</w:t>
      </w:r>
      <w:r>
        <w:t xml:space="preserve"> </w:t>
      </w:r>
      <w:r w:rsidRPr="00B051F0">
        <w:t>I intend to adhere to mental health medical practice recommendations and study countertransference signs. If it's negative, put a professional halt to it.</w:t>
      </w:r>
      <w:r>
        <w:t xml:space="preserve"> </w:t>
      </w:r>
      <w:r w:rsidRPr="00B051F0">
        <w:t xml:space="preserve">Countertransference, </w:t>
      </w:r>
      <w:r>
        <w:t>s</w:t>
      </w:r>
      <w:r w:rsidRPr="00B051F0">
        <w:t xml:space="preserve">uch as idealizing feelings or empathic resonance with the victim, can be advantageous. </w:t>
      </w:r>
    </w:p>
    <w:p w:rsidR="000C025C" w:rsidRPr="009602A8" w:rsidRDefault="000C025C" w:rsidP="000C025C">
      <w:pPr>
        <w:pStyle w:val="BodyText"/>
        <w:spacing w:before="2" w:line="480" w:lineRule="auto"/>
        <w:ind w:left="101" w:right="109" w:firstLine="720"/>
        <w:rPr>
          <w:color w:val="101010"/>
        </w:rPr>
      </w:pPr>
      <w:r>
        <w:rPr>
          <w:color w:val="101010"/>
        </w:rPr>
        <w:t>P</w:t>
      </w:r>
      <w:r w:rsidRPr="00B051F0">
        <w:rPr>
          <w:color w:val="101010"/>
        </w:rPr>
        <w:t>sychiatric mental health caregivers are encouraged to monitor and listen to their responses to a patient's "look, story, and feelings. In clinical treatment, countertransference awareness is advantageous because it provides insight into "the ethical components of a therapeutic encounter.</w:t>
      </w:r>
      <w:r>
        <w:rPr>
          <w:color w:val="101010"/>
        </w:rPr>
        <w:t xml:space="preserve"> (</w:t>
      </w:r>
      <w:proofErr w:type="spellStart"/>
      <w:r>
        <w:rPr>
          <w:color w:val="101010"/>
        </w:rPr>
        <w:t>Bager-Charleson</w:t>
      </w:r>
      <w:proofErr w:type="spellEnd"/>
      <w:r>
        <w:rPr>
          <w:color w:val="101010"/>
        </w:rPr>
        <w:t xml:space="preserve">, 2017). </w:t>
      </w:r>
      <w:r>
        <w:t>There</w:t>
      </w:r>
      <w:r w:rsidRPr="00B051F0">
        <w:t xml:space="preserve"> are parallels between countertransference and transference. Countertransference involves significant past interactions, attitudes, sentiments, and thoughts toward another individual. "Concordant and complementary" are two types of countertransference</w:t>
      </w:r>
      <w:r>
        <w:t>.</w:t>
      </w:r>
      <w:r w:rsidRPr="00B051F0">
        <w:t xml:space="preserve"> </w:t>
      </w:r>
      <w:r>
        <w:t>Hunsbury (2017)</w:t>
      </w:r>
      <w:r w:rsidRPr="00B051F0">
        <w:t xml:space="preserve"> states that concordant </w:t>
      </w:r>
      <w:r w:rsidRPr="00B051F0">
        <w:lastRenderedPageBreak/>
        <w:t xml:space="preserve">identification is when the therapist adopts the patient's personality as their own, and complementary identification is when the patient treats the therapist as </w:t>
      </w:r>
      <w:proofErr w:type="spellStart"/>
      <w:r w:rsidRPr="00B051F0">
        <w:t>transferential</w:t>
      </w:r>
      <w:proofErr w:type="spellEnd"/>
      <w:r w:rsidRPr="00B051F0">
        <w:t xml:space="preserve"> as though the feelings were genuine. </w:t>
      </w:r>
    </w:p>
    <w:p w:rsidR="000C025C" w:rsidRDefault="000C025C" w:rsidP="000C025C">
      <w:pPr>
        <w:pStyle w:val="BodyText"/>
        <w:spacing w:before="2" w:line="480" w:lineRule="auto"/>
        <w:ind w:left="101" w:right="109" w:firstLine="720"/>
        <w:rPr>
          <w:color w:val="101010"/>
        </w:rPr>
      </w:pPr>
      <w:r>
        <w:rPr>
          <w:color w:val="101010"/>
        </w:rPr>
        <w:t>I concur that for</w:t>
      </w:r>
      <w:r w:rsidRPr="00B051F0">
        <w:rPr>
          <w:color w:val="101010"/>
        </w:rPr>
        <w:t xml:space="preserve"> a reputable mental or medical practice, transference and countertransference are essential</w:t>
      </w:r>
      <w:r>
        <w:rPr>
          <w:color w:val="101010"/>
        </w:rPr>
        <w:t xml:space="preserve">. </w:t>
      </w:r>
      <w:r w:rsidRPr="00E96024">
        <w:rPr>
          <w:color w:val="101010"/>
        </w:rPr>
        <w:t>When a therapist is aware of a client's hidden agenda, they may recognize some of the patient's desires and worries that are not quite conscious, which might lead to conflict or profound dependence</w:t>
      </w:r>
      <w:r>
        <w:rPr>
          <w:color w:val="101010"/>
        </w:rPr>
        <w:t>.</w:t>
      </w:r>
    </w:p>
    <w:p w:rsidR="000C025C" w:rsidRPr="009602A8" w:rsidRDefault="000C025C" w:rsidP="000C025C">
      <w:pPr>
        <w:pStyle w:val="BodyText"/>
        <w:spacing w:before="2" w:line="480" w:lineRule="auto"/>
        <w:ind w:left="720" w:right="109" w:hanging="720"/>
        <w:jc w:val="center"/>
        <w:rPr>
          <w:b/>
          <w:bCs/>
          <w:shd w:val="clear" w:color="auto" w:fill="FFFFFF"/>
        </w:rPr>
      </w:pPr>
      <w:r w:rsidRPr="009602A8">
        <w:rPr>
          <w:b/>
          <w:bCs/>
          <w:shd w:val="clear" w:color="auto" w:fill="FFFFFF"/>
        </w:rPr>
        <w:t>References</w:t>
      </w:r>
    </w:p>
    <w:p w:rsidR="000C025C" w:rsidRPr="0052053A" w:rsidRDefault="000C025C" w:rsidP="000C025C">
      <w:pPr>
        <w:pStyle w:val="BodyText"/>
        <w:spacing w:before="2" w:line="480" w:lineRule="auto"/>
        <w:ind w:left="720" w:right="109" w:hanging="720"/>
      </w:pPr>
      <w:proofErr w:type="spellStart"/>
      <w:r w:rsidRPr="0052053A">
        <w:rPr>
          <w:shd w:val="clear" w:color="auto" w:fill="FFFFFF"/>
        </w:rPr>
        <w:t>Bager-Charleson</w:t>
      </w:r>
      <w:proofErr w:type="spellEnd"/>
      <w:r w:rsidRPr="0052053A">
        <w:rPr>
          <w:shd w:val="clear" w:color="auto" w:fill="FFFFFF"/>
        </w:rPr>
        <w:t>, S. (2017). Countertransference in reflective practice: An integrative approach to monitor self-awareness in clinical practice. In </w:t>
      </w:r>
      <w:r w:rsidRPr="0052053A">
        <w:rPr>
          <w:i/>
          <w:iCs/>
          <w:shd w:val="clear" w:color="auto" w:fill="FFFFFF"/>
        </w:rPr>
        <w:t xml:space="preserve">Introduction to Countertransference in </w:t>
      </w:r>
      <w:bookmarkStart w:id="0" w:name="_GoBack"/>
      <w:bookmarkEnd w:id="0"/>
      <w:r w:rsidRPr="0052053A">
        <w:rPr>
          <w:i/>
          <w:iCs/>
          <w:shd w:val="clear" w:color="auto" w:fill="FFFFFF"/>
        </w:rPr>
        <w:t>Therapeutic Practice</w:t>
      </w:r>
      <w:r w:rsidRPr="0052053A">
        <w:rPr>
          <w:shd w:val="clear" w:color="auto" w:fill="FFFFFF"/>
        </w:rPr>
        <w:t> (pp. 145-166). Routledge.</w:t>
      </w:r>
    </w:p>
    <w:p w:rsidR="000C025C" w:rsidRPr="0052053A" w:rsidRDefault="000C025C" w:rsidP="000C025C">
      <w:pPr>
        <w:pStyle w:val="BodyText"/>
        <w:spacing w:before="2" w:line="480" w:lineRule="auto"/>
        <w:ind w:left="720" w:right="109" w:hanging="720"/>
        <w:rPr>
          <w:shd w:val="clear" w:color="auto" w:fill="FFFFFF"/>
        </w:rPr>
      </w:pPr>
      <w:proofErr w:type="spellStart"/>
      <w:r w:rsidRPr="0052053A">
        <w:rPr>
          <w:shd w:val="clear" w:color="auto" w:fill="FFFFFF"/>
        </w:rPr>
        <w:t>Hansbury</w:t>
      </w:r>
      <w:proofErr w:type="spellEnd"/>
      <w:r w:rsidRPr="0052053A">
        <w:rPr>
          <w:shd w:val="clear" w:color="auto" w:fill="FFFFFF"/>
        </w:rPr>
        <w:t xml:space="preserve">, G. (2017). Unthinkable Anxieties Reading Transphobic </w:t>
      </w:r>
      <w:proofErr w:type="spellStart"/>
      <w:r w:rsidRPr="0052053A">
        <w:rPr>
          <w:shd w:val="clear" w:color="auto" w:fill="FFFFFF"/>
        </w:rPr>
        <w:t>Countertransferences</w:t>
      </w:r>
      <w:proofErr w:type="spellEnd"/>
      <w:r w:rsidRPr="0052053A">
        <w:rPr>
          <w:shd w:val="clear" w:color="auto" w:fill="FFFFFF"/>
        </w:rPr>
        <w:t xml:space="preserve"> in a Century of Psychoanalytic Writing. </w:t>
      </w:r>
      <w:r w:rsidRPr="0052053A">
        <w:rPr>
          <w:i/>
          <w:iCs/>
          <w:shd w:val="clear" w:color="auto" w:fill="FFFFFF"/>
        </w:rPr>
        <w:t>TSQ: Transgender Studies Quarterly</w:t>
      </w:r>
      <w:r w:rsidRPr="0052053A">
        <w:rPr>
          <w:shd w:val="clear" w:color="auto" w:fill="FFFFFF"/>
        </w:rPr>
        <w:t>, </w:t>
      </w:r>
      <w:r w:rsidRPr="0052053A">
        <w:rPr>
          <w:i/>
          <w:iCs/>
          <w:shd w:val="clear" w:color="auto" w:fill="FFFFFF"/>
        </w:rPr>
        <w:t>4</w:t>
      </w:r>
      <w:r w:rsidRPr="0052053A">
        <w:rPr>
          <w:shd w:val="clear" w:color="auto" w:fill="FFFFFF"/>
        </w:rPr>
        <w:t>(3-4), 384-404.</w:t>
      </w:r>
      <w:r w:rsidR="00ED5EFB">
        <w:rPr>
          <w:shd w:val="clear" w:color="auto" w:fill="FFFFFF"/>
        </w:rPr>
        <w:t xml:space="preserve"> </w:t>
      </w:r>
      <w:r w:rsidR="00ED5EFB" w:rsidRPr="00ED5EFB">
        <w:rPr>
          <w:shd w:val="clear" w:color="auto" w:fill="FFFFFF"/>
        </w:rPr>
        <w:t>https://doi.org/10.1215/23289252-4189883</w:t>
      </w:r>
    </w:p>
    <w:p w:rsidR="000C025C" w:rsidRPr="0052053A" w:rsidRDefault="00677603" w:rsidP="000C025C">
      <w:pPr>
        <w:pStyle w:val="BodyText"/>
        <w:spacing w:before="2" w:line="480" w:lineRule="auto"/>
        <w:ind w:left="720" w:right="109" w:hanging="720"/>
        <w:rPr>
          <w:shd w:val="clear" w:color="auto" w:fill="FFFFFF"/>
        </w:rPr>
      </w:pPr>
      <w:r>
        <w:rPr>
          <w:shd w:val="clear" w:color="auto" w:fill="FFFFFF"/>
        </w:rPr>
        <w:t>Scott, I. G. E. (2019</w:t>
      </w:r>
      <w:r w:rsidR="000C025C" w:rsidRPr="0052053A">
        <w:rPr>
          <w:shd w:val="clear" w:color="auto" w:fill="FFFFFF"/>
        </w:rPr>
        <w:t>). </w:t>
      </w:r>
      <w:r w:rsidR="000C025C" w:rsidRPr="0052053A">
        <w:rPr>
          <w:i/>
          <w:iCs/>
          <w:shd w:val="clear" w:color="auto" w:fill="FFFFFF"/>
        </w:rPr>
        <w:t>A Qualitative Study of Therapists’ Experiences of Countertransference when Working Therapeutically with Children and Families</w:t>
      </w:r>
      <w:r w:rsidR="000C025C" w:rsidRPr="0052053A">
        <w:rPr>
          <w:shd w:val="clear" w:color="auto" w:fill="FFFFFF"/>
        </w:rPr>
        <w:t> (Doctoral dissertation, University of Auckland).</w:t>
      </w:r>
    </w:p>
    <w:p w:rsidR="00410ABE" w:rsidRDefault="00410ABE"/>
    <w:sectPr w:rsidR="0041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5C"/>
    <w:rsid w:val="000C025C"/>
    <w:rsid w:val="00212BFE"/>
    <w:rsid w:val="00261B54"/>
    <w:rsid w:val="00410ABE"/>
    <w:rsid w:val="00677603"/>
    <w:rsid w:val="00E04DCA"/>
    <w:rsid w:val="00E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DCCB2"/>
  <w15:chartTrackingRefBased/>
  <w15:docId w15:val="{2302DFE0-7D9A-4252-AC09-26334D9F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2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0C025C"/>
    <w:pPr>
      <w:spacing w:before="128"/>
      <w:ind w:left="1542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02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2022-09-09T18:46:00Z</dcterms:created>
  <dcterms:modified xsi:type="dcterms:W3CDTF">2022-09-09T19:03:00Z</dcterms:modified>
</cp:coreProperties>
</file>