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D9EED" w14:textId="77777777" w:rsidR="00E47C2E" w:rsidRDefault="00E47C2E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2EF07563" w14:textId="77777777" w:rsidR="00E47C2E" w:rsidRDefault="00E47C2E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4ACF95" w14:textId="77777777" w:rsidR="00E47C2E" w:rsidRDefault="00E47C2E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BB15D2" w14:textId="77777777" w:rsidR="00E47C2E" w:rsidRDefault="00E47C2E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4149C5" w14:textId="77777777" w:rsidR="00E47C2E" w:rsidRDefault="00E47C2E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DE04B" w14:textId="77777777" w:rsidR="00E47C2E" w:rsidRDefault="00E47C2E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5548F8" w14:textId="5AB7F424" w:rsidR="006B24E4" w:rsidRDefault="00B12A5E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NU6</w:t>
      </w:r>
      <w:r w:rsidR="00631DA2"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="0046203D"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Week 2 </w:t>
      </w:r>
      <w:r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Case Study</w:t>
      </w:r>
      <w:r w:rsidR="00070123"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7D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070123"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95A98"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Dyslipidemia</w:t>
      </w:r>
    </w:p>
    <w:p w14:paraId="3AB2A818" w14:textId="77777777" w:rsidR="00CF7DC5" w:rsidRPr="00695AB9" w:rsidRDefault="00CF7DC5" w:rsidP="00623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4AE5AB" w14:textId="77777777" w:rsidR="00CF7DC5" w:rsidRPr="00CF7DC5" w:rsidRDefault="00B12A5E" w:rsidP="00CF7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DC5">
        <w:rPr>
          <w:rFonts w:ascii="Times New Roman" w:hAnsi="Times New Roman" w:cs="Times New Roman"/>
          <w:color w:val="000000" w:themeColor="text1"/>
          <w:sz w:val="24"/>
          <w:szCs w:val="24"/>
        </w:rPr>
        <w:t>Student’s Name</w:t>
      </w:r>
    </w:p>
    <w:p w14:paraId="5159833F" w14:textId="77777777" w:rsidR="00CF7DC5" w:rsidRPr="00CF7DC5" w:rsidRDefault="00B12A5E" w:rsidP="00CF7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DC5">
        <w:rPr>
          <w:rFonts w:ascii="Times New Roman" w:hAnsi="Times New Roman" w:cs="Times New Roman"/>
          <w:color w:val="000000" w:themeColor="text1"/>
          <w:sz w:val="24"/>
          <w:szCs w:val="24"/>
        </w:rPr>
        <w:t>Institution</w:t>
      </w:r>
    </w:p>
    <w:p w14:paraId="720CF594" w14:textId="77777777" w:rsidR="00CF7DC5" w:rsidRPr="00CF7DC5" w:rsidRDefault="00B12A5E" w:rsidP="00CF7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DC5">
        <w:rPr>
          <w:rFonts w:ascii="Times New Roman" w:hAnsi="Times New Roman" w:cs="Times New Roman"/>
          <w:color w:val="000000" w:themeColor="text1"/>
          <w:sz w:val="24"/>
          <w:szCs w:val="24"/>
        </w:rPr>
        <w:t>Course Title</w:t>
      </w:r>
    </w:p>
    <w:p w14:paraId="76362BF8" w14:textId="77777777" w:rsidR="00CF7DC5" w:rsidRPr="00CF7DC5" w:rsidRDefault="00B12A5E" w:rsidP="00CF7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DC5">
        <w:rPr>
          <w:rFonts w:ascii="Times New Roman" w:hAnsi="Times New Roman" w:cs="Times New Roman"/>
          <w:color w:val="000000" w:themeColor="text1"/>
          <w:sz w:val="24"/>
          <w:szCs w:val="24"/>
        </w:rPr>
        <w:t>Professor’s Name</w:t>
      </w:r>
    </w:p>
    <w:p w14:paraId="2E0EC417" w14:textId="1741B704" w:rsidR="006B24E4" w:rsidRPr="00623DC5" w:rsidRDefault="00B12A5E" w:rsidP="00CF7DC5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DC5">
        <w:rPr>
          <w:rFonts w:ascii="Times New Roman" w:hAnsi="Times New Roman" w:cs="Times New Roman"/>
          <w:color w:val="000000" w:themeColor="text1"/>
          <w:sz w:val="24"/>
          <w:szCs w:val="24"/>
        </w:rPr>
        <w:t>Date</w:t>
      </w:r>
    </w:p>
    <w:p w14:paraId="0DD5ED25" w14:textId="77777777" w:rsidR="00E47C2E" w:rsidRDefault="00B12A5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447D167C" w14:textId="77777777" w:rsidR="0069795C" w:rsidRDefault="0069795C" w:rsidP="0069795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A93DA0" w14:textId="2B9578CA" w:rsidR="0069795C" w:rsidRPr="0069795C" w:rsidRDefault="00B12A5E" w:rsidP="0069795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NU641 Week 2 Case Study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695A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Dyslipidemia</w:t>
      </w:r>
    </w:p>
    <w:p w14:paraId="078580CC" w14:textId="4E9336C7" w:rsidR="006B24E4" w:rsidRPr="00623DC5" w:rsidRDefault="00B12A5E" w:rsidP="003562AD">
      <w:pPr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Does </w:t>
      </w:r>
      <w:r w:rsidR="00FF7944"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Jeremy </w:t>
      </w:r>
      <w:r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fall into any of the statin risk categories? If so, which one?</w:t>
      </w:r>
    </w:p>
    <w:p w14:paraId="62690ABC" w14:textId="4069FDC9" w:rsidR="00412D5E" w:rsidRPr="00623DC5" w:rsidRDefault="00B12A5E" w:rsidP="00623DC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No. Jeremy does not fall into 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5E364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statin </w:t>
      </w:r>
      <w:r w:rsidR="005E364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risk 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categories</w:t>
      </w:r>
      <w:r w:rsidR="005E364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belongs to the third statin benefit group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42FE7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group comprises individuals between the ages of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105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 to 75 years who have diabetes </w:t>
      </w:r>
      <w:r w:rsidR="0052349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but no clinical ASVD</w:t>
      </w:r>
      <w:r w:rsidR="008D6D32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229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study by Grundy et al. (2022) </w:t>
      </w:r>
      <w:r w:rsidR="00DD62B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revealed that </w:t>
      </w:r>
      <w:r w:rsidR="007062C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patients between the age of 40 to 75 years with an LDL_C greater than 70 have diabetes mellitus and do not have concomitant ASVD moderate-intensity statin is appropriate. </w:t>
      </w:r>
      <w:r w:rsidR="00FC2E0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Furthermore, there is no need to measure the </w:t>
      </w:r>
      <w:r w:rsidR="005E364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10-year</w:t>
      </w:r>
      <w:r w:rsidR="00FC2E0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risk for ASVD. </w:t>
      </w:r>
      <w:r w:rsidR="005E364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Jeremy fulfils all the</w:t>
      </w:r>
      <w:r w:rsidR="006B402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outlined </w:t>
      </w:r>
      <w:r w:rsidR="009935B7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requirements since he is aged 55 years, has an LDLC of 162 and has no clinical ASVD. </w:t>
      </w:r>
    </w:p>
    <w:p w14:paraId="27AACECE" w14:textId="2D7F1254" w:rsidR="006B24E4" w:rsidRPr="00623DC5" w:rsidRDefault="00B12A5E" w:rsidP="003562AD">
      <w:pPr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What drug therapy and dose would you prescribe, and why?</w:t>
      </w:r>
    </w:p>
    <w:p w14:paraId="1495278A" w14:textId="4509095C" w:rsidR="0071029C" w:rsidRPr="00623DC5" w:rsidRDefault="00B12A5E" w:rsidP="00623DC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Statin therapy. </w:t>
      </w:r>
      <w:r w:rsidR="00513EA3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 Jeremy has diabetes Mellitus and has no risk factors related to ASVD, he should be started on moderate strain therapy. This may be achieved using atorvastatin 10-20mg or rosuvastatin 5-10mg. 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goal of between 55 to 70 LDL_C mg/dl and </w:t>
      </w:r>
      <w:r w:rsidR="00520A54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80-100 non-HDL C will be</w:t>
      </w:r>
      <w:r w:rsidR="0096338D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set</w:t>
      </w:r>
      <w:r w:rsidR="00130F9D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Jeremy. </w:t>
      </w:r>
      <w:r w:rsidR="00BF58A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this </w:t>
      </w:r>
      <w:r w:rsidR="005357C4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goal is</w:t>
      </w:r>
      <w:r w:rsidR="00BF58A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achieved using </w:t>
      </w:r>
      <w:r w:rsidR="00453D3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moderate statin therapy, then the dosage will be increased</w:t>
      </w:r>
      <w:r w:rsidR="00AD220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(Feingold, 2020)</w:t>
      </w:r>
      <w:r w:rsidR="00453D3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. If the LDL _C and non</w:t>
      </w:r>
      <w:r w:rsidR="005357C4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-HDL C levels are close to the goal, the initial drug that should be added is ezetimibe. However, if the outlined goal is far from being achieved, then a PCSK inhibitor will be used. If the goal for LDL-C is a</w:t>
      </w:r>
      <w:r w:rsidR="00072EF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chieved, but </w:t>
      </w:r>
      <w:r w:rsidR="00D807C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non-HDL C levels are still high, </w:t>
      </w:r>
      <w:r w:rsidR="00F023E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achieving balanced levels of triglycerides when LDL-C is right is initiated</w:t>
      </w:r>
      <w:r w:rsidR="00BB17F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(Feingold, 2020)</w:t>
      </w:r>
      <w:r w:rsidR="00F023E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C36CD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involves adding fenofibrate </w:t>
      </w:r>
      <w:r w:rsidR="00203E9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to stain therapy in patients experiencing elevated levels of triglyceride</w:t>
      </w:r>
      <w:r w:rsidR="002465A2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Furthermore, fenofibrate has been proven beneficial </w:t>
      </w:r>
      <w:r w:rsidR="002371C5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diabetes patients </w:t>
      </w:r>
      <w:r w:rsidR="003971C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since it decreases the rate of growth of the diabetic microvascular disease. </w:t>
      </w:r>
    </w:p>
    <w:p w14:paraId="41D9921C" w14:textId="2A74032B" w:rsidR="0061371F" w:rsidRPr="00623DC5" w:rsidRDefault="00B12A5E" w:rsidP="003562AD">
      <w:pPr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What </w:t>
      </w:r>
      <w:r w:rsidR="003562AD"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Are the Parameters for Monitoring the Success of The Therapy?</w:t>
      </w:r>
    </w:p>
    <w:p w14:paraId="1E9AB003" w14:textId="19E2DA25" w:rsidR="0017351B" w:rsidRPr="00623DC5" w:rsidRDefault="00B12A5E" w:rsidP="00623DC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parameter that will be monitored to determine the success of the therapy is LDL. This is because statin-related drugs work by </w:t>
      </w:r>
      <w:r w:rsidR="006D56C2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blocking </w:t>
      </w:r>
      <w:r w:rsidR="00E0680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cholesterol synthesis in the liver. </w:t>
      </w:r>
      <w:r w:rsidR="0041064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blockage makes the liver synthesize LDL receptors. </w:t>
      </w:r>
      <w:r w:rsidR="00F0570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study revealed that a reduction of 39 mg/dl in LD-C due to statin therapy lowers the possibility of getting ASVD by 22%. </w:t>
      </w:r>
      <w:r w:rsidR="0093594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Moderate statins are expected to lower the level of LDL-C by 30-49%</w:t>
      </w:r>
      <w:r w:rsidR="00FF5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(Rhee et al., 2019)</w:t>
      </w:r>
      <w:r w:rsidR="0093594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However, when a high-intensity </w:t>
      </w:r>
      <w:r w:rsidR="00443DD5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dosage is issued, the LDL-C is expected to lower by more than 50%. Therefore, Jeremy's LDL_C is expected to reduce by </w:t>
      </w:r>
      <w:r w:rsidR="00CF76C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over 60mg. </w:t>
      </w:r>
    </w:p>
    <w:p w14:paraId="63884E32" w14:textId="22D7374B" w:rsidR="006B24E4" w:rsidRPr="00623DC5" w:rsidRDefault="00B12A5E" w:rsidP="003562AD">
      <w:pPr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List one or two adverse reactions to the drug therapy you prescribed for </w:t>
      </w:r>
      <w:r w:rsidR="00FF7944"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Jeremy </w:t>
      </w:r>
      <w:r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that</w:t>
      </w:r>
      <w:r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would cause you to change therapy. Provide a rationale for your answer</w:t>
      </w:r>
      <w:r w:rsidR="00FF7944" w:rsidRPr="00623D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15AEA83" w14:textId="6B5F830A" w:rsidR="00200753" w:rsidRPr="00623DC5" w:rsidRDefault="00B12A5E" w:rsidP="00623DC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of the adverse events that may be caused by </w:t>
      </w:r>
      <w:r w:rsidR="00761D3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statin therapy is </w:t>
      </w:r>
      <w:r w:rsidR="00A9111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Rhabdomyolysis</w:t>
      </w:r>
      <w:r w:rsidR="00761D3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myopathy</w:t>
      </w:r>
      <w:r w:rsidR="00A9111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Different authors have used the stated clinical terms to describe the </w:t>
      </w:r>
      <w:r w:rsidR="00465405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adverse muscle effects of</w:t>
      </w:r>
      <w:r w:rsidR="005D799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statin drugs. </w:t>
      </w:r>
      <w:r w:rsidR="0075582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Statin-induced myopathy may occur when a patient experiences unexplained muscle pain after using statins. Furthermore, the condition can occur when muscles experience weaknesses simultaneously with a Creatine Kinase (CK)</w:t>
      </w:r>
      <w:r w:rsidR="004B078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concentration of more than ten times</w:t>
      </w:r>
      <w:r w:rsidR="00A337FF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upper limit of normal. </w:t>
      </w:r>
      <w:r w:rsidR="009C199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other hand, </w:t>
      </w:r>
      <w:r w:rsidR="00E3453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Rhabdomyolysis is an extreme form of myopathy. It occurs when the Creatine Kinase (CK) </w:t>
      </w:r>
      <w:r w:rsidR="003B551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F97925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greater than the ULN by 40 times. </w:t>
      </w:r>
      <w:r w:rsidR="006D450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Such high levels of pain may result in acute renal failure or myoglobinuria. </w:t>
      </w:r>
      <w:r w:rsidR="00A41C8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However, these cases are usually rare. A study by Newman et al. (2018) highlights that </w:t>
      </w:r>
      <w:r w:rsidR="00D0117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hospitalization rate due to Rhabdomyolysis is approximately 0.44 per 10000 patients when the most common statins are used solely. These statins include simvastatin and </w:t>
      </w:r>
      <w:r w:rsidR="000E3711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pravastatin. However, drug interactions when statins are not used solely may increase this rate</w:t>
      </w:r>
      <w:r w:rsidR="003C7C1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especially with fenofibrate. </w:t>
      </w:r>
      <w:r w:rsidR="00267331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Increasing the statin </w:t>
      </w:r>
      <w:r w:rsidR="00267331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dosage increases the possibility of rare </w:t>
      </w:r>
      <w:r w:rsidR="00E9166F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Rhabdomyolysis</w:t>
      </w:r>
      <w:r w:rsidR="00267331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707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myopathy. 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Myopathy will likely occur after a few months when the </w:t>
      </w:r>
      <w:r w:rsidR="00721714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patent increases the dosage of the statins. Similarly, the condition may develop after an introduction of an interacting drug. </w:t>
      </w:r>
      <w:r w:rsidR="008E736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However, a clinician needs to </w:t>
      </w:r>
      <w:r w:rsidR="00BA5345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inquire for more information about the characteristics of unexplained pain. </w:t>
      </w:r>
      <w:r w:rsidR="0050654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Usually, myopathy is associated with pain proximally distributed around the chest and shoulders, biliteracy and the hip flexor. </w:t>
      </w:r>
    </w:p>
    <w:p w14:paraId="7F2CD077" w14:textId="0ED92D3E" w:rsidR="006B24E4" w:rsidRPr="003562AD" w:rsidRDefault="00B12A5E" w:rsidP="003562AD">
      <w:pPr>
        <w:pStyle w:val="ListParagraph"/>
        <w:autoSpaceDE w:val="0"/>
        <w:autoSpaceDN w:val="0"/>
        <w:adjustRightInd w:val="0"/>
        <w:spacing w:before="240" w:after="0" w:line="480" w:lineRule="auto"/>
        <w:ind w:left="10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When rechecked, </w:t>
      </w:r>
      <w:r w:rsidR="00FF7944"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Jeremy’s </w:t>
      </w:r>
      <w:r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total cholesterol is 174 (LDL, 100; HDL, 38), but he is </w:t>
      </w:r>
      <w:r w:rsidR="006C5D6B"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omplaining of muscle pain. How would you manage </w:t>
      </w:r>
      <w:r w:rsidR="00FF7944"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Jeremy’s </w:t>
      </w:r>
      <w:r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treatment? Provide a rationale for your answer</w:t>
      </w:r>
      <w:r w:rsidR="0074312E" w:rsidRPr="00356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3A6BE23" w14:textId="137D2462" w:rsidR="00E9166F" w:rsidRPr="00623DC5" w:rsidRDefault="00B12A5E" w:rsidP="00623DC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Based on the i</w:t>
      </w:r>
      <w:r w:rsidR="00590DA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ndicated cholesterol, LDL and HDL levels, and muscle pain, Jeremy is likely to be suffering from </w:t>
      </w:r>
      <w:r w:rsidR="00A225A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myopathy. </w:t>
      </w:r>
      <w:r w:rsidR="00B83BD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begin with, creatine Kinase (CK) is </w:t>
      </w:r>
      <w:r w:rsidR="00FB728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measured when</w:t>
      </w:r>
      <w:r w:rsidR="00B83BD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patient experiences muscle symptoms because the enzymes causing muscle pain can be located in the liver. </w:t>
      </w:r>
      <w:r w:rsidR="00FB728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Failure to measure the CK may lead to misdiagnosis of myopathy, which may advance to Rhabdomyolysis</w:t>
      </w:r>
      <w:r w:rsidR="00DC769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. Afterwards, it may result in kidney injury (AKI)</w:t>
      </w:r>
      <w:r w:rsidR="006D14CD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stain is not addressed. </w:t>
      </w:r>
      <w:r w:rsidR="007C0FA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CK levels </w:t>
      </w:r>
      <w:r w:rsidR="00D4110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exceed the ULN by 5 or 10 times, then the statin medication should be stopped immediately. </w:t>
      </w:r>
      <w:r w:rsidR="000A2C7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Additionally, Jeremy’s fluid intake should be increased significantly. </w:t>
      </w:r>
      <w:r w:rsidR="00DB567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On the other hand, if the CK i</w:t>
      </w:r>
      <w:r w:rsidR="005F266F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significantly high, the patient is considered at high risk of renal failure. At this point, hospitalization is necessary. </w:t>
      </w:r>
      <w:r w:rsidR="009601CF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</w:t>
      </w:r>
      <w:r w:rsidR="009C1B6D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statins are discontinued, the levels of CK are expected to lower gradually</w:t>
      </w:r>
      <w:r w:rsidR="004137A8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(Newman et al., 2019)</w:t>
      </w:r>
      <w:r w:rsidR="009C1B6D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. However, the</w:t>
      </w:r>
      <w:r w:rsidR="005518D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 CK levels may prolong if the pain causes severe muscle injury. </w:t>
      </w:r>
      <w:r w:rsidR="00DE1151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</w:t>
      </w:r>
      <w:r w:rsidR="00FF007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CK levels fail to improve after the discontinuation of the statins, then Jeremy should be referred to a muscle specialist. The muscle specialist may </w:t>
      </w:r>
      <w:r w:rsidR="00FF007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consider other forms of diagnoses with similar symptoms, such as statin-associated autoimmune myopathy, polymyalgia rheumatica and mitochondrial myopathies. </w:t>
      </w:r>
    </w:p>
    <w:p w14:paraId="7546728B" w14:textId="1054A17B" w:rsidR="006B24E4" w:rsidRPr="00204A98" w:rsidRDefault="00B12A5E" w:rsidP="00204A98">
      <w:pPr>
        <w:pStyle w:val="ListParagraph"/>
        <w:autoSpaceDE w:val="0"/>
        <w:autoSpaceDN w:val="0"/>
        <w:adjustRightInd w:val="0"/>
        <w:spacing w:before="240" w:after="0" w:line="480" w:lineRule="auto"/>
        <w:ind w:left="10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4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When </w:t>
      </w:r>
      <w:r w:rsidR="00204A98" w:rsidRPr="00204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Would You Have Patient Follow-Up?</w:t>
      </w:r>
    </w:p>
    <w:p w14:paraId="592E7397" w14:textId="51F8656A" w:rsidR="00D21D51" w:rsidRPr="00623DC5" w:rsidRDefault="00B12A5E" w:rsidP="00623DC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Regular follow-up is essential for patients to ensure they follow the recommended treat</w:t>
      </w: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 plan. </w:t>
      </w:r>
      <w:r w:rsidR="00526774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plan includes going through different tests and taking their medications on time. </w:t>
      </w:r>
      <w:r w:rsidR="000423F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Patient follow-up for Jeremy would begin</w:t>
      </w:r>
      <w:r w:rsidR="00410FA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 starting </w:t>
      </w:r>
      <w:r w:rsidR="00001821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statin therapy. </w:t>
      </w:r>
      <w:r w:rsidR="009A0D8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has indicated that there has been a high rate of non-adherence to </w:t>
      </w:r>
      <w:r w:rsidR="009500E7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statin drugs despite the well-known </w:t>
      </w:r>
      <w:r w:rsidR="0027610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benefits of </w:t>
      </w:r>
      <w:r w:rsidR="00DE4E2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statin therapy. </w:t>
      </w:r>
      <w:r w:rsidR="00802C82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follow-up after the </w:t>
      </w:r>
      <w:r w:rsidR="00C60D53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therapy begins will remind Jeremy</w:t>
      </w:r>
      <w:r w:rsidR="00E7045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statin therapy is a lifetime treatment. </w:t>
      </w:r>
      <w:r w:rsidR="00EC2D8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Therefore, I will remind him of the importance of collaborating and participating </w:t>
      </w:r>
      <w:r w:rsidR="00072B71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healthcare system. </w:t>
      </w:r>
      <w:r w:rsidR="00F41522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Therefore, during the meeting, we will discuss the</w:t>
      </w:r>
      <w:r w:rsidR="00E37E3D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lifetime cost-related issues of </w:t>
      </w:r>
      <w:r w:rsidR="001207BE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statin therapy. </w:t>
      </w:r>
      <w:r w:rsidR="008A375B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Afterwards, the </w:t>
      </w:r>
      <w:r w:rsidR="00105D8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patient follow-up would be done after a month to assess the patient’s progress and how his point of view has changed over the period</w:t>
      </w:r>
      <w:r w:rsidR="006249F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(Grundy &amp; Feingold, 2022)</w:t>
      </w:r>
      <w:r w:rsidR="00105D8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D330A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Common issues attributed to non-compliance with the therapy include a lack of clarification of the benefits of the therapy, reduced motivation and lack of health consciousness</w:t>
      </w:r>
      <w:r w:rsidR="00240202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333C6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patients </w:t>
      </w:r>
      <w:r w:rsidR="00D6607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have</w:t>
      </w:r>
      <w:r w:rsidR="00EF1BB5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 issues, I will recommend a one-on-one meeting that will resolve the identified </w:t>
      </w:r>
      <w:r w:rsidR="006249F0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issues</w:t>
      </w:r>
      <w:r w:rsidR="00EF1BB5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AA52E84" w14:textId="585F20C0" w:rsidR="006B24E4" w:rsidRPr="00204A98" w:rsidRDefault="00B12A5E" w:rsidP="00204A98">
      <w:pPr>
        <w:autoSpaceDE w:val="0"/>
        <w:autoSpaceDN w:val="0"/>
        <w:adjustRightInd w:val="0"/>
        <w:spacing w:before="240" w:after="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04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What </w:t>
      </w:r>
      <w:r w:rsidR="00204A98" w:rsidRPr="00204A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Labs Would You Order and Why?</w:t>
      </w:r>
    </w:p>
    <w:p w14:paraId="1DF646B6" w14:textId="65173C9A" w:rsidR="006B24E4" w:rsidRPr="00623DC5" w:rsidRDefault="00B12A5E" w:rsidP="00623DC5">
      <w:pPr>
        <w:autoSpaceDE w:val="0"/>
        <w:autoSpaceDN w:val="0"/>
        <w:adjustRightInd w:val="0"/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>The labs</w:t>
      </w:r>
      <w:r w:rsidR="00BF018C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would order would all align with the assessment of </w:t>
      </w:r>
      <w:r w:rsidR="00BF018C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Dyslipidemia</w:t>
      </w:r>
      <w:r w:rsidR="00046890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First, </w:t>
      </w:r>
      <w:r w:rsidR="00D52DEB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would order a lab that investigates the total plasma cholesterol </w:t>
      </w:r>
      <w:r w:rsidR="00F926BC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and triglyceride levels. </w:t>
      </w:r>
      <w:r w:rsidR="00A1354C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These labs will be ideal for determining the </w:t>
      </w:r>
      <w:r w:rsidR="00F54895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lipid profile</w:t>
      </w:r>
      <w:r w:rsidR="00571036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since lipid measurements contain a significant biological variability</w:t>
      </w:r>
      <w:r w:rsidR="00DD3DCF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will be taken </w:t>
      </w:r>
      <w:r w:rsidR="00E8141B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twice one week apart</w:t>
      </w:r>
      <w:r w:rsidR="00326CA7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(Zhu et al., 2018)</w:t>
      </w:r>
      <w:r w:rsidR="00E8141B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EA636F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labs will produce HDL, </w:t>
      </w:r>
      <w:r w:rsidR="004F1545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LDL, </w:t>
      </w:r>
      <w:r w:rsidR="00711FE8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total, and triglycerides values. </w:t>
      </w:r>
      <w:r w:rsidR="002F6F45" w:rsidRPr="00623D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Lastly, a </w:t>
      </w:r>
      <w:r w:rsidR="0064485F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creatine Kinase (CK) lab will be used to determine the level of </w:t>
      </w:r>
      <w:r w:rsidR="00C67F59" w:rsidRPr="00623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Rhabdomyolysis and myopathy. </w:t>
      </w:r>
    </w:p>
    <w:p w14:paraId="0C0375E8" w14:textId="18AA0E11" w:rsidR="005A2F12" w:rsidRPr="00623DC5" w:rsidRDefault="005A2F12" w:rsidP="00623DC5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1060D6" w14:textId="77777777" w:rsidR="00FC2600" w:rsidRDefault="00FC26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4EEA6490" w14:textId="60833836" w:rsidR="008B1D16" w:rsidRPr="00FC2600" w:rsidRDefault="00B12A5E" w:rsidP="00623DC5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26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References</w:t>
      </w:r>
    </w:p>
    <w:p w14:paraId="571C62E1" w14:textId="77777777" w:rsidR="00DF03FC" w:rsidRDefault="00B12A5E" w:rsidP="00DF03F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Feingold, K. R., &amp; Grunfeld, C. (2000). </w:t>
      </w:r>
      <w:r>
        <w:rPr>
          <w:i/>
          <w:iCs/>
        </w:rPr>
        <w:t>Approach to the Patient with Dyslipidemia</w:t>
      </w:r>
      <w:r>
        <w:t xml:space="preserve"> (K. R. Feingold, B. Anawalt, A. Boyce, G. Chrousos, K. Dungan, A. Grossman, J. M. Hershman, G. Kaltsas, C. Koch, P. Kopp, M. Korbonits, R. McLachlan, J. E. Morley, M. New, L. Perreault, J. Purnell, R. Rebar, F. Sin</w:t>
      </w:r>
      <w:r>
        <w:t>ger, D. L. Trence, &amp; A. Vinik, Eds.). PubMed; MDText.com, Inc. https://www.ncbi.nlm.nih.gov/books/NBK326736/</w:t>
      </w:r>
    </w:p>
    <w:p w14:paraId="770A3ED5" w14:textId="77777777" w:rsidR="00DF03FC" w:rsidRDefault="00B12A5E" w:rsidP="00DF03F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Grundy, S. M., &amp; Feingold, K. R. (2000). </w:t>
      </w:r>
      <w:r>
        <w:rPr>
          <w:i/>
          <w:iCs/>
        </w:rPr>
        <w:t>Guidelines for the Management of High Blood Cholesterol</w:t>
      </w:r>
      <w:r>
        <w:t xml:space="preserve"> (K. R. Feingold, B. Anawalt, A. Boyce, G. Chrousos</w:t>
      </w:r>
      <w:r>
        <w:t>, W. W. de Herder, K. Dungan, A. Grossman, J. M. Hershman, H. J. Hofland, G. Kaltsas, C. Koch, P. Kopp, M. Korbonits, R. McLachlan, J. E. Morley, M. New, J. Purnell, F. Singer, C. A. Stratakis, &amp; D. L. Trence, Eds.). PubMed; MDText.com, Inc. https://www.nc</w:t>
      </w:r>
      <w:r>
        <w:t>bi.nlm.nih.gov/books/NBK305897/</w:t>
      </w:r>
    </w:p>
    <w:p w14:paraId="5F195D33" w14:textId="77777777" w:rsidR="00DF03FC" w:rsidRDefault="00B12A5E" w:rsidP="00DF03FC">
      <w:pPr>
        <w:pStyle w:val="NormalWeb"/>
        <w:spacing w:before="0" w:beforeAutospacing="0" w:after="0" w:afterAutospacing="0" w:line="480" w:lineRule="auto"/>
        <w:ind w:left="720" w:hanging="720"/>
      </w:pPr>
      <w:r>
        <w:t>Newman, C. B., Preiss, D., Tobert, J. A., Jacobson, T. A., Page, R. L., Goldstein, L. B., Chin, C., Tannock, L. R., Miller, M., Raghuveer, G., Duell, P. B., Brinton, E. A., Pollak, A., Braun, L. T., &amp; Welty, F. K. (2019). St</w:t>
      </w:r>
      <w:r>
        <w:t xml:space="preserve">atin Safety and Associated Adverse Events: A Scientific Statement From the American Heart Association. </w:t>
      </w:r>
      <w:r>
        <w:rPr>
          <w:i/>
          <w:iCs/>
        </w:rPr>
        <w:t>Arteriosclerosis, Thrombosis, and Vascular Biology</w:t>
      </w:r>
      <w:r>
        <w:t xml:space="preserve">, </w:t>
      </w:r>
      <w:r>
        <w:rPr>
          <w:i/>
          <w:iCs/>
        </w:rPr>
        <w:t>39</w:t>
      </w:r>
      <w:r>
        <w:t>(2). https://doi.org/10.1161/atv.0000000000000073</w:t>
      </w:r>
    </w:p>
    <w:p w14:paraId="285E43CB" w14:textId="19DDB516" w:rsidR="00DF03FC" w:rsidRDefault="00B12A5E" w:rsidP="00DF03FC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Rhee, E.-J., Kim, H. C., Kim, J. H., Lee, E. Y., </w:t>
      </w:r>
      <w:r>
        <w:t xml:space="preserve">Kim, B. J., Kim, E. M., Song, Y., Lim, J. H., Kim, H. J., Choi, S., Moon, M. K., Na, J. O., Park, K.-Y., Oh, M. S., Han, S. Y., Noh, J., Yi, K. H., Lee, S.-H., Hong, S.-C., &amp; Jeong, I.-K. (2019). 2018 Guidelines for the management of Dyslipidemia. </w:t>
      </w:r>
      <w:r>
        <w:rPr>
          <w:i/>
          <w:iCs/>
        </w:rPr>
        <w:t>The Kore</w:t>
      </w:r>
      <w:r>
        <w:rPr>
          <w:i/>
          <w:iCs/>
        </w:rPr>
        <w:t>an Journal of Internal Medicine</w:t>
      </w:r>
      <w:r>
        <w:t xml:space="preserve">, </w:t>
      </w:r>
      <w:r>
        <w:rPr>
          <w:i/>
          <w:iCs/>
        </w:rPr>
        <w:t>34</w:t>
      </w:r>
      <w:r>
        <w:t xml:space="preserve">(4), 723–771. </w:t>
      </w:r>
      <w:hyperlink r:id="rId7" w:history="1">
        <w:r w:rsidRPr="007F77AC">
          <w:rPr>
            <w:rStyle w:val="Hyperlink"/>
          </w:rPr>
          <w:t>https://doi.org/10.3904/kjim.2019.188</w:t>
        </w:r>
      </w:hyperlink>
    </w:p>
    <w:p w14:paraId="6B2D1911" w14:textId="189F0A63" w:rsidR="003243C7" w:rsidRPr="00DF03FC" w:rsidRDefault="00B12A5E" w:rsidP="00DF03FC">
      <w:pPr>
        <w:pStyle w:val="NormalWeb"/>
        <w:spacing w:before="0" w:beforeAutospacing="0" w:after="0" w:afterAutospacing="0" w:line="480" w:lineRule="auto"/>
        <w:ind w:left="720" w:hanging="720"/>
      </w:pPr>
      <w:r w:rsidRPr="00623DC5">
        <w:rPr>
          <w:color w:val="222222"/>
          <w:shd w:val="clear" w:color="auto" w:fill="FFFFFF"/>
        </w:rPr>
        <w:lastRenderedPageBreak/>
        <w:t xml:space="preserve">Zhu, Z., Wu, F., Lu, Y., Wang, Z., Zang, J., Yu, H., ... &amp; Ding, G. (2018). The association of dietary cholesterol </w:t>
      </w:r>
      <w:r w:rsidRPr="00623DC5">
        <w:rPr>
          <w:color w:val="222222"/>
          <w:shd w:val="clear" w:color="auto" w:fill="FFFFFF"/>
        </w:rPr>
        <w:t xml:space="preserve">and fatty acids with Dyslipidemia in Chinese metropolitan men and women. </w:t>
      </w:r>
      <w:r w:rsidRPr="00623DC5">
        <w:rPr>
          <w:i/>
          <w:iCs/>
          <w:color w:val="222222"/>
          <w:shd w:val="clear" w:color="auto" w:fill="FFFFFF"/>
        </w:rPr>
        <w:t>Nutrients</w:t>
      </w:r>
      <w:r w:rsidRPr="00623DC5">
        <w:rPr>
          <w:color w:val="222222"/>
          <w:shd w:val="clear" w:color="auto" w:fill="FFFFFF"/>
        </w:rPr>
        <w:t>, </w:t>
      </w:r>
      <w:r w:rsidRPr="00623DC5">
        <w:rPr>
          <w:i/>
          <w:iCs/>
          <w:color w:val="222222"/>
          <w:shd w:val="clear" w:color="auto" w:fill="FFFFFF"/>
        </w:rPr>
        <w:t>10</w:t>
      </w:r>
      <w:r w:rsidRPr="00623DC5">
        <w:rPr>
          <w:color w:val="222222"/>
          <w:shd w:val="clear" w:color="auto" w:fill="FFFFFF"/>
        </w:rPr>
        <w:t>(8), 961.</w:t>
      </w:r>
    </w:p>
    <w:sectPr w:rsidR="003243C7" w:rsidRPr="00DF03FC" w:rsidSect="003C2A2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88D9D" w14:textId="77777777" w:rsidR="00B12A5E" w:rsidRDefault="00B12A5E">
      <w:pPr>
        <w:spacing w:after="0" w:line="240" w:lineRule="auto"/>
      </w:pPr>
      <w:r>
        <w:separator/>
      </w:r>
    </w:p>
  </w:endnote>
  <w:endnote w:type="continuationSeparator" w:id="0">
    <w:p w14:paraId="3126884A" w14:textId="77777777" w:rsidR="00B12A5E" w:rsidRDefault="00B1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9B0CC" w14:textId="77777777" w:rsidR="00B12A5E" w:rsidRDefault="00B12A5E">
      <w:pPr>
        <w:spacing w:after="0" w:line="240" w:lineRule="auto"/>
      </w:pPr>
      <w:r>
        <w:separator/>
      </w:r>
    </w:p>
  </w:footnote>
  <w:footnote w:type="continuationSeparator" w:id="0">
    <w:p w14:paraId="734B3B42" w14:textId="77777777" w:rsidR="00B12A5E" w:rsidRDefault="00B1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55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02C707" w14:textId="7F58D135" w:rsidR="0069795C" w:rsidRPr="0069795C" w:rsidRDefault="00B12A5E" w:rsidP="0069795C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979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9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9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CDE" w:rsidRPr="00374CDE">
          <w:rPr>
            <w:rFonts w:ascii="Times New Roman" w:hAnsi="Times New Roman" w:cs="Times New Roman"/>
            <w:noProof/>
            <w:sz w:val="24"/>
            <w:szCs w:val="24"/>
            <w:lang w:val="en-GB"/>
          </w:rPr>
          <w:t>8</w:t>
        </w:r>
        <w:r w:rsidRPr="006979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D98017" w14:textId="77777777" w:rsidR="0069795C" w:rsidRDefault="00697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0109F"/>
    <w:multiLevelType w:val="hybridMultilevel"/>
    <w:tmpl w:val="DFD0E344"/>
    <w:lvl w:ilvl="0" w:tplc="3C4EC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C722A64" w:tentative="1">
      <w:start w:val="1"/>
      <w:numFmt w:val="lowerLetter"/>
      <w:lvlText w:val="%2."/>
      <w:lvlJc w:val="left"/>
      <w:pPr>
        <w:ind w:left="1800" w:hanging="360"/>
      </w:pPr>
    </w:lvl>
    <w:lvl w:ilvl="2" w:tplc="AD9A6D5C" w:tentative="1">
      <w:start w:val="1"/>
      <w:numFmt w:val="lowerRoman"/>
      <w:lvlText w:val="%3."/>
      <w:lvlJc w:val="right"/>
      <w:pPr>
        <w:ind w:left="2520" w:hanging="180"/>
      </w:pPr>
    </w:lvl>
    <w:lvl w:ilvl="3" w:tplc="C71E4E6A" w:tentative="1">
      <w:start w:val="1"/>
      <w:numFmt w:val="decimal"/>
      <w:lvlText w:val="%4."/>
      <w:lvlJc w:val="left"/>
      <w:pPr>
        <w:ind w:left="3240" w:hanging="360"/>
      </w:pPr>
    </w:lvl>
    <w:lvl w:ilvl="4" w:tplc="CF7A2404" w:tentative="1">
      <w:start w:val="1"/>
      <w:numFmt w:val="lowerLetter"/>
      <w:lvlText w:val="%5."/>
      <w:lvlJc w:val="left"/>
      <w:pPr>
        <w:ind w:left="3960" w:hanging="360"/>
      </w:pPr>
    </w:lvl>
    <w:lvl w:ilvl="5" w:tplc="03B475B2" w:tentative="1">
      <w:start w:val="1"/>
      <w:numFmt w:val="lowerRoman"/>
      <w:lvlText w:val="%6."/>
      <w:lvlJc w:val="right"/>
      <w:pPr>
        <w:ind w:left="4680" w:hanging="180"/>
      </w:pPr>
    </w:lvl>
    <w:lvl w:ilvl="6" w:tplc="A37422F8" w:tentative="1">
      <w:start w:val="1"/>
      <w:numFmt w:val="decimal"/>
      <w:lvlText w:val="%7."/>
      <w:lvlJc w:val="left"/>
      <w:pPr>
        <w:ind w:left="5400" w:hanging="360"/>
      </w:pPr>
    </w:lvl>
    <w:lvl w:ilvl="7" w:tplc="0754620A" w:tentative="1">
      <w:start w:val="1"/>
      <w:numFmt w:val="lowerLetter"/>
      <w:lvlText w:val="%8."/>
      <w:lvlJc w:val="left"/>
      <w:pPr>
        <w:ind w:left="6120" w:hanging="360"/>
      </w:pPr>
    </w:lvl>
    <w:lvl w:ilvl="8" w:tplc="9C9208B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62"/>
    <w:rsid w:val="00001821"/>
    <w:rsid w:val="000218AE"/>
    <w:rsid w:val="000423FC"/>
    <w:rsid w:val="00046890"/>
    <w:rsid w:val="0006111E"/>
    <w:rsid w:val="00070123"/>
    <w:rsid w:val="00072B71"/>
    <w:rsid w:val="00072EF8"/>
    <w:rsid w:val="000741F2"/>
    <w:rsid w:val="00087078"/>
    <w:rsid w:val="000A2C79"/>
    <w:rsid w:val="000E3711"/>
    <w:rsid w:val="001037B2"/>
    <w:rsid w:val="00105D86"/>
    <w:rsid w:val="001207BE"/>
    <w:rsid w:val="00130F9D"/>
    <w:rsid w:val="0016577E"/>
    <w:rsid w:val="0017351B"/>
    <w:rsid w:val="00194F32"/>
    <w:rsid w:val="00200753"/>
    <w:rsid w:val="00203E99"/>
    <w:rsid w:val="00204A98"/>
    <w:rsid w:val="002371C5"/>
    <w:rsid w:val="00240202"/>
    <w:rsid w:val="002465A2"/>
    <w:rsid w:val="002634B2"/>
    <w:rsid w:val="00267331"/>
    <w:rsid w:val="0027610A"/>
    <w:rsid w:val="00285056"/>
    <w:rsid w:val="002A7D2E"/>
    <w:rsid w:val="002F5750"/>
    <w:rsid w:val="002F6F45"/>
    <w:rsid w:val="00307DC1"/>
    <w:rsid w:val="00313914"/>
    <w:rsid w:val="003243C7"/>
    <w:rsid w:val="00326CA7"/>
    <w:rsid w:val="00330737"/>
    <w:rsid w:val="003562AD"/>
    <w:rsid w:val="0037220D"/>
    <w:rsid w:val="003749BB"/>
    <w:rsid w:val="00374CDE"/>
    <w:rsid w:val="003971CE"/>
    <w:rsid w:val="003B551C"/>
    <w:rsid w:val="003C2961"/>
    <w:rsid w:val="003C2A27"/>
    <w:rsid w:val="003C7C10"/>
    <w:rsid w:val="003D5817"/>
    <w:rsid w:val="003D66E3"/>
    <w:rsid w:val="003E2074"/>
    <w:rsid w:val="00410640"/>
    <w:rsid w:val="00410FAC"/>
    <w:rsid w:val="00412D5E"/>
    <w:rsid w:val="004137A8"/>
    <w:rsid w:val="00443DD5"/>
    <w:rsid w:val="00453D39"/>
    <w:rsid w:val="00461245"/>
    <w:rsid w:val="0046203D"/>
    <w:rsid w:val="00465405"/>
    <w:rsid w:val="00471CEB"/>
    <w:rsid w:val="004B078B"/>
    <w:rsid w:val="004F1545"/>
    <w:rsid w:val="00506548"/>
    <w:rsid w:val="00513EA3"/>
    <w:rsid w:val="00520A54"/>
    <w:rsid w:val="0052349A"/>
    <w:rsid w:val="00523DC3"/>
    <w:rsid w:val="00526774"/>
    <w:rsid w:val="005357C4"/>
    <w:rsid w:val="005518DC"/>
    <w:rsid w:val="00571036"/>
    <w:rsid w:val="00590DAE"/>
    <w:rsid w:val="005A0B52"/>
    <w:rsid w:val="005A2F12"/>
    <w:rsid w:val="005D799C"/>
    <w:rsid w:val="005E3648"/>
    <w:rsid w:val="005F266F"/>
    <w:rsid w:val="0061371F"/>
    <w:rsid w:val="00623DC5"/>
    <w:rsid w:val="006249F0"/>
    <w:rsid w:val="00631DA2"/>
    <w:rsid w:val="00641EF3"/>
    <w:rsid w:val="00642FE7"/>
    <w:rsid w:val="0064485F"/>
    <w:rsid w:val="00660749"/>
    <w:rsid w:val="00695AB9"/>
    <w:rsid w:val="0069795C"/>
    <w:rsid w:val="006B24E4"/>
    <w:rsid w:val="006B402A"/>
    <w:rsid w:val="006C5D6B"/>
    <w:rsid w:val="006D14CD"/>
    <w:rsid w:val="006D4506"/>
    <w:rsid w:val="006D5343"/>
    <w:rsid w:val="006D56C2"/>
    <w:rsid w:val="006F3DA9"/>
    <w:rsid w:val="007062CB"/>
    <w:rsid w:val="0071029C"/>
    <w:rsid w:val="00711FE8"/>
    <w:rsid w:val="00721714"/>
    <w:rsid w:val="00734B6C"/>
    <w:rsid w:val="0074312E"/>
    <w:rsid w:val="00755829"/>
    <w:rsid w:val="00761D36"/>
    <w:rsid w:val="007A7F1A"/>
    <w:rsid w:val="007C0FA0"/>
    <w:rsid w:val="007F77AC"/>
    <w:rsid w:val="00802C82"/>
    <w:rsid w:val="0083105E"/>
    <w:rsid w:val="00887562"/>
    <w:rsid w:val="008A375B"/>
    <w:rsid w:val="008A7785"/>
    <w:rsid w:val="008B1D16"/>
    <w:rsid w:val="008B2414"/>
    <w:rsid w:val="008B7C20"/>
    <w:rsid w:val="008D6D32"/>
    <w:rsid w:val="008E558C"/>
    <w:rsid w:val="008E7366"/>
    <w:rsid w:val="0093594B"/>
    <w:rsid w:val="009500E7"/>
    <w:rsid w:val="009601CF"/>
    <w:rsid w:val="0096338D"/>
    <w:rsid w:val="00991F94"/>
    <w:rsid w:val="009935B7"/>
    <w:rsid w:val="009A0D8B"/>
    <w:rsid w:val="009C199E"/>
    <w:rsid w:val="009C1B6D"/>
    <w:rsid w:val="009C36CD"/>
    <w:rsid w:val="00A1354C"/>
    <w:rsid w:val="00A225AA"/>
    <w:rsid w:val="00A31CEC"/>
    <w:rsid w:val="00A337FF"/>
    <w:rsid w:val="00A41C80"/>
    <w:rsid w:val="00A91116"/>
    <w:rsid w:val="00AC438E"/>
    <w:rsid w:val="00AD220B"/>
    <w:rsid w:val="00B0229A"/>
    <w:rsid w:val="00B12A5E"/>
    <w:rsid w:val="00B333C6"/>
    <w:rsid w:val="00B80A14"/>
    <w:rsid w:val="00B83BD0"/>
    <w:rsid w:val="00BA5345"/>
    <w:rsid w:val="00BA5799"/>
    <w:rsid w:val="00BB17F9"/>
    <w:rsid w:val="00BD39FB"/>
    <w:rsid w:val="00BF018C"/>
    <w:rsid w:val="00BF58AA"/>
    <w:rsid w:val="00C0612D"/>
    <w:rsid w:val="00C46805"/>
    <w:rsid w:val="00C60D53"/>
    <w:rsid w:val="00C67F59"/>
    <w:rsid w:val="00C950CD"/>
    <w:rsid w:val="00C95A98"/>
    <w:rsid w:val="00CA40D4"/>
    <w:rsid w:val="00CF76C9"/>
    <w:rsid w:val="00CF7DC5"/>
    <w:rsid w:val="00D0117B"/>
    <w:rsid w:val="00D05513"/>
    <w:rsid w:val="00D151CD"/>
    <w:rsid w:val="00D21D51"/>
    <w:rsid w:val="00D4110C"/>
    <w:rsid w:val="00D51175"/>
    <w:rsid w:val="00D52DEB"/>
    <w:rsid w:val="00D6607C"/>
    <w:rsid w:val="00D67EF8"/>
    <w:rsid w:val="00D807CB"/>
    <w:rsid w:val="00D96D67"/>
    <w:rsid w:val="00DA0A34"/>
    <w:rsid w:val="00DB5678"/>
    <w:rsid w:val="00DC769A"/>
    <w:rsid w:val="00DD330A"/>
    <w:rsid w:val="00DD3DCF"/>
    <w:rsid w:val="00DD62B6"/>
    <w:rsid w:val="00DE1151"/>
    <w:rsid w:val="00DE4E29"/>
    <w:rsid w:val="00DE4F40"/>
    <w:rsid w:val="00DF03FC"/>
    <w:rsid w:val="00E06806"/>
    <w:rsid w:val="00E11D63"/>
    <w:rsid w:val="00E3453B"/>
    <w:rsid w:val="00E37E3D"/>
    <w:rsid w:val="00E47C2E"/>
    <w:rsid w:val="00E7045E"/>
    <w:rsid w:val="00E8141B"/>
    <w:rsid w:val="00E9166F"/>
    <w:rsid w:val="00E95E9C"/>
    <w:rsid w:val="00EA636F"/>
    <w:rsid w:val="00EC2D8A"/>
    <w:rsid w:val="00EE5468"/>
    <w:rsid w:val="00EF1BB5"/>
    <w:rsid w:val="00F023EA"/>
    <w:rsid w:val="00F05709"/>
    <w:rsid w:val="00F138FE"/>
    <w:rsid w:val="00F41522"/>
    <w:rsid w:val="00F54895"/>
    <w:rsid w:val="00F54ADB"/>
    <w:rsid w:val="00F55E45"/>
    <w:rsid w:val="00F56884"/>
    <w:rsid w:val="00F926BC"/>
    <w:rsid w:val="00F97925"/>
    <w:rsid w:val="00FB728B"/>
    <w:rsid w:val="00FC2600"/>
    <w:rsid w:val="00FC2E0E"/>
    <w:rsid w:val="00FF0070"/>
    <w:rsid w:val="00FF5F14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1C55"/>
  <w15:docId w15:val="{C7986327-FA6A-4A98-8ACC-EBF850E9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31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1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1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1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1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1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D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F03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03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95C"/>
  </w:style>
  <w:style w:type="paragraph" w:styleId="Footer">
    <w:name w:val="footer"/>
    <w:basedOn w:val="Normal"/>
    <w:link w:val="FooterChar"/>
    <w:uiPriority w:val="99"/>
    <w:unhideWhenUsed/>
    <w:rsid w:val="00697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904/kjim.2019.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</cp:lastModifiedBy>
  <cp:revision>2</cp:revision>
  <dcterms:created xsi:type="dcterms:W3CDTF">2022-09-10T00:07:00Z</dcterms:created>
  <dcterms:modified xsi:type="dcterms:W3CDTF">2022-09-10T00:07:00Z</dcterms:modified>
</cp:coreProperties>
</file>