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F56" w:rsidRPr="008C4164" w:rsidRDefault="0048631F" w:rsidP="008C416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164">
        <w:rPr>
          <w:rFonts w:ascii="Times New Roman" w:hAnsi="Times New Roman" w:cs="Times New Roman"/>
          <w:b/>
          <w:sz w:val="24"/>
          <w:szCs w:val="24"/>
        </w:rPr>
        <w:t>Week 4 Discussion 1: Pros and Cons to Delivering Community-Based Participatory Care to Those Who Are Vulnerable</w:t>
      </w:r>
    </w:p>
    <w:p w:rsidR="00543BD1" w:rsidRPr="008C4164" w:rsidRDefault="005D545F" w:rsidP="008C416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C4164">
        <w:rPr>
          <w:rFonts w:ascii="Times New Roman" w:hAnsi="Times New Roman" w:cs="Times New Roman"/>
          <w:sz w:val="24"/>
          <w:szCs w:val="24"/>
        </w:rPr>
        <w:t>The purpose of this discussion post is to consider what is known about individua</w:t>
      </w:r>
      <w:r w:rsidR="00FA01B8" w:rsidRPr="008C4164">
        <w:rPr>
          <w:rFonts w:ascii="Times New Roman" w:hAnsi="Times New Roman" w:cs="Times New Roman"/>
          <w:sz w:val="24"/>
          <w:szCs w:val="24"/>
        </w:rPr>
        <w:t xml:space="preserve">ls with traumatic brain injury in relation to </w:t>
      </w:r>
      <w:r w:rsidR="00FA01B8" w:rsidRPr="008C4164">
        <w:rPr>
          <w:rFonts w:ascii="Times New Roman" w:hAnsi="Times New Roman" w:cs="Times New Roman"/>
          <w:sz w:val="24"/>
          <w:szCs w:val="24"/>
        </w:rPr>
        <w:t xml:space="preserve">health assets, health problems, health-related lifestyles strengths, key health-related beliefs, health behaviors that put </w:t>
      </w:r>
      <w:r w:rsidR="00BC08AB" w:rsidRPr="008C4164">
        <w:rPr>
          <w:rFonts w:ascii="Times New Roman" w:hAnsi="Times New Roman" w:cs="Times New Roman"/>
          <w:sz w:val="24"/>
          <w:szCs w:val="24"/>
        </w:rPr>
        <w:t xml:space="preserve">individuals with traumatic brain injury </w:t>
      </w:r>
      <w:r w:rsidR="00FA01B8" w:rsidRPr="008C4164">
        <w:rPr>
          <w:rFonts w:ascii="Times New Roman" w:hAnsi="Times New Roman" w:cs="Times New Roman"/>
          <w:sz w:val="24"/>
          <w:szCs w:val="24"/>
        </w:rPr>
        <w:t>at risk, and changes that could improve their quality of life</w:t>
      </w:r>
      <w:r w:rsidR="00BC08AB" w:rsidRPr="008C4164">
        <w:rPr>
          <w:rFonts w:ascii="Times New Roman" w:hAnsi="Times New Roman" w:cs="Times New Roman"/>
          <w:sz w:val="24"/>
          <w:szCs w:val="24"/>
        </w:rPr>
        <w:t xml:space="preserve">. </w:t>
      </w:r>
      <w:r w:rsidR="003635E6" w:rsidRPr="008C4164">
        <w:rPr>
          <w:rFonts w:ascii="Times New Roman" w:hAnsi="Times New Roman" w:cs="Times New Roman"/>
          <w:sz w:val="24"/>
          <w:szCs w:val="24"/>
        </w:rPr>
        <w:t xml:space="preserve">Besides </w:t>
      </w:r>
      <w:r w:rsidR="0037071F" w:rsidRPr="008C4164">
        <w:rPr>
          <w:rFonts w:ascii="Times New Roman" w:hAnsi="Times New Roman" w:cs="Times New Roman"/>
          <w:sz w:val="24"/>
          <w:szCs w:val="24"/>
        </w:rPr>
        <w:t>the discussion will explore the</w:t>
      </w:r>
      <w:r w:rsidR="0017506F" w:rsidRPr="008C4164">
        <w:rPr>
          <w:rFonts w:ascii="Times New Roman" w:hAnsi="Times New Roman" w:cs="Times New Roman"/>
          <w:sz w:val="24"/>
          <w:szCs w:val="24"/>
        </w:rPr>
        <w:t xml:space="preserve"> pros a</w:t>
      </w:r>
      <w:r w:rsidR="00D93104" w:rsidRPr="008C4164">
        <w:rPr>
          <w:rFonts w:ascii="Times New Roman" w:hAnsi="Times New Roman" w:cs="Times New Roman"/>
          <w:sz w:val="24"/>
          <w:szCs w:val="24"/>
        </w:rPr>
        <w:t>n</w:t>
      </w:r>
      <w:r w:rsidR="0017506F" w:rsidRPr="008C4164">
        <w:rPr>
          <w:rFonts w:ascii="Times New Roman" w:hAnsi="Times New Roman" w:cs="Times New Roman"/>
          <w:sz w:val="24"/>
          <w:szCs w:val="24"/>
        </w:rPr>
        <w:t xml:space="preserve">d cons on implementing </w:t>
      </w:r>
      <w:r w:rsidR="00D93104" w:rsidRPr="008C4164">
        <w:rPr>
          <w:rFonts w:ascii="Times New Roman" w:hAnsi="Times New Roman" w:cs="Times New Roman"/>
          <w:sz w:val="24"/>
          <w:szCs w:val="24"/>
        </w:rPr>
        <w:t xml:space="preserve">a Community-Based Participatory Research health promotion project with the </w:t>
      </w:r>
      <w:r w:rsidR="00F32207" w:rsidRPr="008C4164">
        <w:rPr>
          <w:rFonts w:ascii="Times New Roman" w:hAnsi="Times New Roman" w:cs="Times New Roman"/>
          <w:sz w:val="24"/>
          <w:szCs w:val="24"/>
        </w:rPr>
        <w:t xml:space="preserve">individuals with traumatic brain injury. </w:t>
      </w:r>
      <w:r w:rsidR="008F41B1" w:rsidRPr="008C4164">
        <w:rPr>
          <w:rFonts w:ascii="Times New Roman" w:hAnsi="Times New Roman" w:cs="Times New Roman"/>
          <w:sz w:val="24"/>
          <w:szCs w:val="24"/>
        </w:rPr>
        <w:t xml:space="preserve">During my practice I have helped different individuals struggling with traumatic brain injury </w:t>
      </w:r>
      <w:r w:rsidR="006D0974" w:rsidRPr="008C4164">
        <w:rPr>
          <w:rFonts w:ascii="Times New Roman" w:hAnsi="Times New Roman" w:cs="Times New Roman"/>
          <w:sz w:val="24"/>
          <w:szCs w:val="24"/>
        </w:rPr>
        <w:t xml:space="preserve">and observed how their vulnerability undermines access to appropriate care services. </w:t>
      </w:r>
      <w:r w:rsidR="000B1364" w:rsidRPr="008C4164">
        <w:rPr>
          <w:rFonts w:ascii="Times New Roman" w:hAnsi="Times New Roman" w:cs="Times New Roman"/>
          <w:sz w:val="24"/>
          <w:szCs w:val="24"/>
        </w:rPr>
        <w:t xml:space="preserve">When I think of the health assets for this population I </w:t>
      </w:r>
      <w:r w:rsidR="00C102A3" w:rsidRPr="008C4164">
        <w:rPr>
          <w:rFonts w:ascii="Times New Roman" w:hAnsi="Times New Roman" w:cs="Times New Roman"/>
          <w:sz w:val="24"/>
          <w:szCs w:val="24"/>
        </w:rPr>
        <w:t>think about access to proper care, effective cognitive and behavioral care services</w:t>
      </w:r>
      <w:r w:rsidR="003903AD" w:rsidRPr="008C416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3BD1" w:rsidRPr="008C4164" w:rsidRDefault="003903AD" w:rsidP="008C416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C4164">
        <w:rPr>
          <w:rFonts w:ascii="Times New Roman" w:hAnsi="Times New Roman" w:cs="Times New Roman"/>
          <w:sz w:val="24"/>
          <w:szCs w:val="24"/>
        </w:rPr>
        <w:t xml:space="preserve">The people living with traumatic brain injury </w:t>
      </w:r>
      <w:r w:rsidR="00060565" w:rsidRPr="008C4164">
        <w:rPr>
          <w:rFonts w:ascii="Times New Roman" w:hAnsi="Times New Roman" w:cs="Times New Roman"/>
          <w:sz w:val="24"/>
          <w:szCs w:val="24"/>
        </w:rPr>
        <w:t xml:space="preserve">are </w:t>
      </w:r>
      <w:r w:rsidR="00EF12A2" w:rsidRPr="008C4164">
        <w:rPr>
          <w:rFonts w:ascii="Times New Roman" w:hAnsi="Times New Roman" w:cs="Times New Roman"/>
          <w:sz w:val="24"/>
          <w:szCs w:val="24"/>
        </w:rPr>
        <w:t xml:space="preserve">faced with </w:t>
      </w:r>
      <w:r w:rsidR="00320B8D" w:rsidRPr="008C4164">
        <w:rPr>
          <w:rFonts w:ascii="Times New Roman" w:hAnsi="Times New Roman" w:cs="Times New Roman"/>
          <w:sz w:val="24"/>
          <w:szCs w:val="24"/>
        </w:rPr>
        <w:t>several</w:t>
      </w:r>
      <w:r w:rsidR="004518D5" w:rsidRPr="008C4164">
        <w:rPr>
          <w:rFonts w:ascii="Times New Roman" w:hAnsi="Times New Roman" w:cs="Times New Roman"/>
          <w:sz w:val="24"/>
          <w:szCs w:val="24"/>
        </w:rPr>
        <w:t xml:space="preserve"> health disparities </w:t>
      </w:r>
      <w:r w:rsidR="00AE71F1" w:rsidRPr="008C4164">
        <w:rPr>
          <w:rFonts w:ascii="Times New Roman" w:hAnsi="Times New Roman" w:cs="Times New Roman"/>
          <w:sz w:val="24"/>
          <w:szCs w:val="24"/>
        </w:rPr>
        <w:t xml:space="preserve">and the health assets can be utilized in promoting better access to the required care services. The individuals with traumatic brain injury </w:t>
      </w:r>
      <w:r w:rsidR="00320B8D" w:rsidRPr="008C4164">
        <w:rPr>
          <w:rFonts w:ascii="Times New Roman" w:hAnsi="Times New Roman" w:cs="Times New Roman"/>
          <w:sz w:val="24"/>
          <w:szCs w:val="24"/>
        </w:rPr>
        <w:t>are faced with several social determinants of health that impacts on their physical health, mental health</w:t>
      </w:r>
      <w:r w:rsidR="00FB4AA5" w:rsidRPr="008C4164">
        <w:rPr>
          <w:rFonts w:ascii="Times New Roman" w:hAnsi="Times New Roman" w:cs="Times New Roman"/>
          <w:sz w:val="24"/>
          <w:szCs w:val="24"/>
        </w:rPr>
        <w:t>, as well as their social health</w:t>
      </w:r>
      <w:r w:rsidR="005006A3" w:rsidRPr="008C4164">
        <w:rPr>
          <w:rFonts w:ascii="Times New Roman" w:hAnsi="Times New Roman" w:cs="Times New Roman"/>
          <w:sz w:val="24"/>
          <w:szCs w:val="24"/>
        </w:rPr>
        <w:t xml:space="preserve"> (</w:t>
      </w:r>
      <w:r w:rsidR="005006A3" w:rsidRPr="008C41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Butkus</w:t>
      </w:r>
      <w:r w:rsidR="005006A3" w:rsidRPr="008C41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2020</w:t>
      </w:r>
      <w:r w:rsidR="005006A3" w:rsidRPr="008C4164">
        <w:rPr>
          <w:rFonts w:ascii="Times New Roman" w:hAnsi="Times New Roman" w:cs="Times New Roman"/>
          <w:sz w:val="24"/>
          <w:szCs w:val="24"/>
        </w:rPr>
        <w:t>)</w:t>
      </w:r>
      <w:r w:rsidR="00FB4AA5" w:rsidRPr="008C4164">
        <w:rPr>
          <w:rFonts w:ascii="Times New Roman" w:hAnsi="Times New Roman" w:cs="Times New Roman"/>
          <w:sz w:val="24"/>
          <w:szCs w:val="24"/>
        </w:rPr>
        <w:t xml:space="preserve">. Due to their health condition, these individuals are prone various health problems including </w:t>
      </w:r>
      <w:r w:rsidR="005D197E" w:rsidRPr="008C4164">
        <w:rPr>
          <w:rFonts w:ascii="Times New Roman" w:hAnsi="Times New Roman" w:cs="Times New Roman"/>
          <w:sz w:val="24"/>
          <w:szCs w:val="24"/>
        </w:rPr>
        <w:t xml:space="preserve">sleeping challenges, depression, anxiety </w:t>
      </w:r>
      <w:r w:rsidR="00F252C2" w:rsidRPr="008C4164">
        <w:rPr>
          <w:rFonts w:ascii="Times New Roman" w:hAnsi="Times New Roman" w:cs="Times New Roman"/>
          <w:sz w:val="24"/>
          <w:szCs w:val="24"/>
        </w:rPr>
        <w:t xml:space="preserve">besides being prone to alcohol and substance abuse. </w:t>
      </w:r>
      <w:r w:rsidR="00940EFE" w:rsidRPr="008C4164">
        <w:rPr>
          <w:rFonts w:ascii="Times New Roman" w:hAnsi="Times New Roman" w:cs="Times New Roman"/>
          <w:sz w:val="24"/>
          <w:szCs w:val="24"/>
        </w:rPr>
        <w:t xml:space="preserve">I believe that individuals with traumatic brain injury </w:t>
      </w:r>
      <w:r w:rsidR="00E831FE" w:rsidRPr="008C4164">
        <w:rPr>
          <w:rFonts w:ascii="Times New Roman" w:hAnsi="Times New Roman" w:cs="Times New Roman"/>
          <w:sz w:val="24"/>
          <w:szCs w:val="24"/>
        </w:rPr>
        <w:t xml:space="preserve">are very resilient and innovate that helps them in coping with the changes associated with TBI and adopts effective strategies of helping them with adjusting to life. </w:t>
      </w:r>
      <w:r w:rsidR="001E5546" w:rsidRPr="008C4164">
        <w:rPr>
          <w:rFonts w:ascii="Times New Roman" w:hAnsi="Times New Roman" w:cs="Times New Roman"/>
          <w:sz w:val="24"/>
          <w:szCs w:val="24"/>
        </w:rPr>
        <w:t>Specifically, these individuals tend to tap into resiliency skills including sense of agency assertiveness, and health and life goals and in positively adapting into</w:t>
      </w:r>
      <w:r w:rsidR="008252C3" w:rsidRPr="008C4164">
        <w:rPr>
          <w:rFonts w:ascii="Times New Roman" w:hAnsi="Times New Roman" w:cs="Times New Roman"/>
          <w:sz w:val="24"/>
          <w:szCs w:val="24"/>
        </w:rPr>
        <w:t xml:space="preserve"> life following the TBI. </w:t>
      </w:r>
    </w:p>
    <w:p w:rsidR="005D545F" w:rsidRPr="008C4164" w:rsidRDefault="008252C3" w:rsidP="008C416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C4164">
        <w:rPr>
          <w:rFonts w:ascii="Times New Roman" w:hAnsi="Times New Roman" w:cs="Times New Roman"/>
          <w:sz w:val="24"/>
          <w:szCs w:val="24"/>
        </w:rPr>
        <w:lastRenderedPageBreak/>
        <w:t>Some of the key health-</w:t>
      </w:r>
      <w:r w:rsidR="0041068E" w:rsidRPr="008C4164">
        <w:rPr>
          <w:rFonts w:ascii="Times New Roman" w:hAnsi="Times New Roman" w:cs="Times New Roman"/>
          <w:sz w:val="24"/>
          <w:szCs w:val="24"/>
        </w:rPr>
        <w:t>related believe</w:t>
      </w:r>
      <w:r w:rsidR="00543BD1" w:rsidRPr="008C4164">
        <w:rPr>
          <w:rFonts w:ascii="Times New Roman" w:hAnsi="Times New Roman" w:cs="Times New Roman"/>
          <w:sz w:val="24"/>
          <w:szCs w:val="24"/>
        </w:rPr>
        <w:t>s</w:t>
      </w:r>
      <w:r w:rsidR="0041068E" w:rsidRPr="008C4164">
        <w:rPr>
          <w:rFonts w:ascii="Times New Roman" w:hAnsi="Times New Roman" w:cs="Times New Roman"/>
          <w:sz w:val="24"/>
          <w:szCs w:val="24"/>
        </w:rPr>
        <w:t xml:space="preserve"> for individuals with traumatic brain injury include </w:t>
      </w:r>
      <w:r w:rsidR="009E6547" w:rsidRPr="008C4164">
        <w:rPr>
          <w:rFonts w:ascii="Times New Roman" w:hAnsi="Times New Roman" w:cs="Times New Roman"/>
          <w:sz w:val="24"/>
          <w:szCs w:val="24"/>
        </w:rPr>
        <w:t>challenges in complex attention, executive ability, learning and memory (</w:t>
      </w:r>
      <w:r w:rsidR="00F47E01" w:rsidRPr="008C41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Wallace</w:t>
      </w:r>
      <w:r w:rsidR="00F47E01" w:rsidRPr="008C41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</w:t>
      </w:r>
      <w:r w:rsidR="008C4164" w:rsidRPr="008C41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18</w:t>
      </w:r>
      <w:r w:rsidR="009E6547" w:rsidRPr="008C4164">
        <w:rPr>
          <w:rFonts w:ascii="Times New Roman" w:hAnsi="Times New Roman" w:cs="Times New Roman"/>
          <w:sz w:val="24"/>
          <w:szCs w:val="24"/>
        </w:rPr>
        <w:t xml:space="preserve">). </w:t>
      </w:r>
      <w:r w:rsidR="00C37A17" w:rsidRPr="008C4164">
        <w:rPr>
          <w:rFonts w:ascii="Times New Roman" w:hAnsi="Times New Roman" w:cs="Times New Roman"/>
          <w:sz w:val="24"/>
          <w:szCs w:val="24"/>
        </w:rPr>
        <w:t xml:space="preserve">Some of the health behaviors that put these individuals at </w:t>
      </w:r>
      <w:r w:rsidR="00296B7A" w:rsidRPr="008C4164">
        <w:rPr>
          <w:rFonts w:ascii="Times New Roman" w:hAnsi="Times New Roman" w:cs="Times New Roman"/>
          <w:sz w:val="24"/>
          <w:szCs w:val="24"/>
        </w:rPr>
        <w:t xml:space="preserve">risk include </w:t>
      </w:r>
      <w:r w:rsidR="004678B2" w:rsidRPr="008C4164">
        <w:rPr>
          <w:rFonts w:ascii="Times New Roman" w:hAnsi="Times New Roman" w:cs="Times New Roman"/>
          <w:sz w:val="24"/>
          <w:szCs w:val="24"/>
        </w:rPr>
        <w:t xml:space="preserve">the likelihood of abusing alcohol and substances, besides </w:t>
      </w:r>
      <w:r w:rsidR="00B24CB9" w:rsidRPr="008C4164">
        <w:rPr>
          <w:rFonts w:ascii="Times New Roman" w:hAnsi="Times New Roman" w:cs="Times New Roman"/>
          <w:sz w:val="24"/>
          <w:szCs w:val="24"/>
        </w:rPr>
        <w:t>the slo</w:t>
      </w:r>
      <w:r w:rsidR="008D4004" w:rsidRPr="008C4164">
        <w:rPr>
          <w:rFonts w:ascii="Times New Roman" w:hAnsi="Times New Roman" w:cs="Times New Roman"/>
          <w:sz w:val="24"/>
          <w:szCs w:val="24"/>
        </w:rPr>
        <w:t xml:space="preserve">w decline in cognitive and social functioning. </w:t>
      </w:r>
      <w:r w:rsidR="00687879" w:rsidRPr="008C4164">
        <w:rPr>
          <w:rFonts w:ascii="Times New Roman" w:hAnsi="Times New Roman" w:cs="Times New Roman"/>
          <w:sz w:val="24"/>
          <w:szCs w:val="24"/>
        </w:rPr>
        <w:t xml:space="preserve">However, the implementation of therapeutic options including </w:t>
      </w:r>
      <w:r w:rsidR="001861F7" w:rsidRPr="008C4164">
        <w:rPr>
          <w:rFonts w:ascii="Times New Roman" w:hAnsi="Times New Roman" w:cs="Times New Roman"/>
          <w:sz w:val="24"/>
          <w:szCs w:val="24"/>
        </w:rPr>
        <w:t>CBT therapy can assist in promoting the recovery of these individuals and reduce the chances of abusing substances and drinking alcohol.</w:t>
      </w:r>
      <w:r w:rsidR="00395110" w:rsidRPr="008C4164">
        <w:rPr>
          <w:rFonts w:ascii="Times New Roman" w:hAnsi="Times New Roman" w:cs="Times New Roman"/>
          <w:sz w:val="24"/>
          <w:szCs w:val="24"/>
        </w:rPr>
        <w:t xml:space="preserve"> </w:t>
      </w:r>
      <w:r w:rsidR="00923872" w:rsidRPr="008C4164">
        <w:rPr>
          <w:rFonts w:ascii="Times New Roman" w:hAnsi="Times New Roman" w:cs="Times New Roman"/>
          <w:sz w:val="24"/>
          <w:szCs w:val="24"/>
        </w:rPr>
        <w:t xml:space="preserve">Some of the changes that could improve the quality of life for individuals with TBI </w:t>
      </w:r>
      <w:r w:rsidR="008C0D99" w:rsidRPr="008C4164">
        <w:rPr>
          <w:rFonts w:ascii="Times New Roman" w:hAnsi="Times New Roman" w:cs="Times New Roman"/>
          <w:sz w:val="24"/>
          <w:szCs w:val="24"/>
        </w:rPr>
        <w:t>includ</w:t>
      </w:r>
      <w:r w:rsidR="00F961A2" w:rsidRPr="008C4164">
        <w:rPr>
          <w:rFonts w:ascii="Times New Roman" w:hAnsi="Times New Roman" w:cs="Times New Roman"/>
          <w:sz w:val="24"/>
          <w:szCs w:val="24"/>
        </w:rPr>
        <w:t xml:space="preserve">e </w:t>
      </w:r>
      <w:r w:rsidR="007D1B51" w:rsidRPr="008C4164">
        <w:rPr>
          <w:rFonts w:ascii="Times New Roman" w:hAnsi="Times New Roman" w:cs="Times New Roman"/>
          <w:bCs/>
          <w:sz w:val="24"/>
          <w:szCs w:val="24"/>
        </w:rPr>
        <w:t>promoting self-knowledge problem solving and emotion, and emotional regulation among this population can be helpful in achieving positive health outcomes.</w:t>
      </w:r>
      <w:r w:rsidR="007D1B51" w:rsidRPr="008C4164">
        <w:rPr>
          <w:rFonts w:ascii="Times New Roman" w:hAnsi="Times New Roman" w:cs="Times New Roman"/>
          <w:bCs/>
          <w:sz w:val="24"/>
          <w:szCs w:val="24"/>
        </w:rPr>
        <w:t xml:space="preserve"> Notably, promoting </w:t>
      </w:r>
      <w:r w:rsidR="003B07A5" w:rsidRPr="008C4164">
        <w:rPr>
          <w:rFonts w:ascii="Times New Roman" w:hAnsi="Times New Roman" w:cs="Times New Roman"/>
          <w:bCs/>
          <w:sz w:val="24"/>
          <w:szCs w:val="24"/>
        </w:rPr>
        <w:t xml:space="preserve">the literacy levels for this population will be significant in ensuring that they </w:t>
      </w:r>
      <w:r w:rsidR="00106E55" w:rsidRPr="008C4164">
        <w:rPr>
          <w:rFonts w:ascii="Times New Roman" w:hAnsi="Times New Roman" w:cs="Times New Roman"/>
          <w:bCs/>
          <w:sz w:val="24"/>
          <w:szCs w:val="24"/>
        </w:rPr>
        <w:t xml:space="preserve">seek appropriate care services that addresses their health needs. </w:t>
      </w:r>
    </w:p>
    <w:p w:rsidR="00F67E92" w:rsidRPr="008C4164" w:rsidRDefault="00F67E92" w:rsidP="008C416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C4164">
        <w:rPr>
          <w:rFonts w:ascii="Times New Roman" w:hAnsi="Times New Roman" w:cs="Times New Roman"/>
          <w:sz w:val="24"/>
          <w:szCs w:val="24"/>
        </w:rPr>
        <w:t xml:space="preserve">The </w:t>
      </w:r>
      <w:r w:rsidR="00646D50" w:rsidRPr="008C4164">
        <w:rPr>
          <w:rFonts w:ascii="Times New Roman" w:hAnsi="Times New Roman" w:cs="Times New Roman"/>
          <w:sz w:val="24"/>
          <w:szCs w:val="24"/>
        </w:rPr>
        <w:t xml:space="preserve">implementation of a </w:t>
      </w:r>
      <w:r w:rsidR="00646D50" w:rsidRPr="008C4164">
        <w:rPr>
          <w:rFonts w:ascii="Times New Roman" w:hAnsi="Times New Roman" w:cs="Times New Roman"/>
          <w:sz w:val="24"/>
          <w:szCs w:val="24"/>
        </w:rPr>
        <w:t>Community-Based Participatory Research health promotion project</w:t>
      </w:r>
      <w:r w:rsidR="00646D50" w:rsidRPr="008C4164">
        <w:rPr>
          <w:rFonts w:ascii="Times New Roman" w:hAnsi="Times New Roman" w:cs="Times New Roman"/>
          <w:sz w:val="24"/>
          <w:szCs w:val="24"/>
        </w:rPr>
        <w:t xml:space="preserve"> among the individuals with TBI would be significant in reducing the different health disparities that undermines the access of quality care services. </w:t>
      </w:r>
      <w:r w:rsidR="00D379D0" w:rsidRPr="008C4164">
        <w:rPr>
          <w:rFonts w:ascii="Times New Roman" w:hAnsi="Times New Roman" w:cs="Times New Roman"/>
          <w:sz w:val="24"/>
          <w:szCs w:val="24"/>
        </w:rPr>
        <w:t xml:space="preserve">Specifically, an effective </w:t>
      </w:r>
      <w:r w:rsidR="006D4DDF" w:rsidRPr="008C4164">
        <w:rPr>
          <w:rFonts w:ascii="Times New Roman" w:hAnsi="Times New Roman" w:cs="Times New Roman"/>
          <w:sz w:val="24"/>
          <w:szCs w:val="24"/>
        </w:rPr>
        <w:t xml:space="preserve">CBPR that should be implemented to assist these individuals should be geared towards reducing the gaps in access in cognitive and behavioral care services. </w:t>
      </w:r>
      <w:r w:rsidR="00DB256C" w:rsidRPr="008C4164">
        <w:rPr>
          <w:rFonts w:ascii="Times New Roman" w:hAnsi="Times New Roman" w:cs="Times New Roman"/>
          <w:sz w:val="24"/>
          <w:szCs w:val="24"/>
        </w:rPr>
        <w:t xml:space="preserve">Some of the </w:t>
      </w:r>
      <w:r w:rsidR="005D00E1" w:rsidRPr="008C4164">
        <w:rPr>
          <w:rFonts w:ascii="Times New Roman" w:hAnsi="Times New Roman" w:cs="Times New Roman"/>
          <w:sz w:val="24"/>
          <w:szCs w:val="24"/>
        </w:rPr>
        <w:t xml:space="preserve">pros of implementing a CBPR project includes creating an awareness </w:t>
      </w:r>
      <w:r w:rsidR="003F3BC3" w:rsidRPr="008C4164">
        <w:rPr>
          <w:rFonts w:ascii="Times New Roman" w:hAnsi="Times New Roman" w:cs="Times New Roman"/>
          <w:sz w:val="24"/>
          <w:szCs w:val="24"/>
        </w:rPr>
        <w:t xml:space="preserve">of the available resources for use in promoting recovery </w:t>
      </w:r>
      <w:r w:rsidR="00BC53FC" w:rsidRPr="008C4164">
        <w:rPr>
          <w:rFonts w:ascii="Times New Roman" w:hAnsi="Times New Roman" w:cs="Times New Roman"/>
          <w:sz w:val="24"/>
          <w:szCs w:val="24"/>
        </w:rPr>
        <w:t xml:space="preserve">and transition </w:t>
      </w:r>
      <w:r w:rsidR="00945560" w:rsidRPr="008C4164">
        <w:rPr>
          <w:rFonts w:ascii="Times New Roman" w:hAnsi="Times New Roman" w:cs="Times New Roman"/>
          <w:sz w:val="24"/>
          <w:szCs w:val="24"/>
        </w:rPr>
        <w:t xml:space="preserve">after TBI treatment. </w:t>
      </w:r>
      <w:r w:rsidR="002C369B" w:rsidRPr="008C4164">
        <w:rPr>
          <w:rFonts w:ascii="Times New Roman" w:hAnsi="Times New Roman" w:cs="Times New Roman"/>
          <w:sz w:val="24"/>
          <w:szCs w:val="24"/>
        </w:rPr>
        <w:t>Besides, the CB</w:t>
      </w:r>
      <w:r w:rsidR="00857B51" w:rsidRPr="008C4164">
        <w:rPr>
          <w:rFonts w:ascii="Times New Roman" w:hAnsi="Times New Roman" w:cs="Times New Roman"/>
          <w:sz w:val="24"/>
          <w:szCs w:val="24"/>
        </w:rPr>
        <w:t>P</w:t>
      </w:r>
      <w:r w:rsidR="002C369B" w:rsidRPr="008C4164">
        <w:rPr>
          <w:rFonts w:ascii="Times New Roman" w:hAnsi="Times New Roman" w:cs="Times New Roman"/>
          <w:sz w:val="24"/>
          <w:szCs w:val="24"/>
        </w:rPr>
        <w:t xml:space="preserve">R projects informs </w:t>
      </w:r>
      <w:r w:rsidR="00857B51" w:rsidRPr="008C4164">
        <w:rPr>
          <w:rFonts w:ascii="Times New Roman" w:hAnsi="Times New Roman" w:cs="Times New Roman"/>
          <w:sz w:val="24"/>
          <w:szCs w:val="24"/>
        </w:rPr>
        <w:t>the communities regarding their role in helping individuals with TBI to adjust to life smoothly. Some of the possible cons of implementing a CBPR</w:t>
      </w:r>
      <w:r w:rsidR="005E7A17" w:rsidRPr="008C4164">
        <w:rPr>
          <w:rFonts w:ascii="Times New Roman" w:hAnsi="Times New Roman" w:cs="Times New Roman"/>
          <w:sz w:val="24"/>
          <w:szCs w:val="24"/>
        </w:rPr>
        <w:t xml:space="preserve"> </w:t>
      </w:r>
      <w:r w:rsidR="00F43E32" w:rsidRPr="008C4164">
        <w:rPr>
          <w:rFonts w:ascii="Times New Roman" w:hAnsi="Times New Roman" w:cs="Times New Roman"/>
          <w:sz w:val="24"/>
          <w:szCs w:val="24"/>
        </w:rPr>
        <w:t xml:space="preserve">include </w:t>
      </w:r>
      <w:r w:rsidR="00646FB3" w:rsidRPr="008C4164">
        <w:rPr>
          <w:rFonts w:ascii="Times New Roman" w:hAnsi="Times New Roman" w:cs="Times New Roman"/>
          <w:sz w:val="24"/>
          <w:szCs w:val="24"/>
        </w:rPr>
        <w:t xml:space="preserve">misunderstanding of the benefits linked to </w:t>
      </w:r>
      <w:r w:rsidR="00CB4903" w:rsidRPr="008C4164">
        <w:rPr>
          <w:rFonts w:ascii="Times New Roman" w:hAnsi="Times New Roman" w:cs="Times New Roman"/>
          <w:sz w:val="24"/>
          <w:szCs w:val="24"/>
        </w:rPr>
        <w:t>supporting the CBPR within the community</w:t>
      </w:r>
      <w:r w:rsidR="00215AF7" w:rsidRPr="008C4164">
        <w:rPr>
          <w:rFonts w:ascii="Times New Roman" w:hAnsi="Times New Roman" w:cs="Times New Roman"/>
          <w:sz w:val="24"/>
          <w:szCs w:val="24"/>
        </w:rPr>
        <w:t xml:space="preserve"> may undermine the support and the participation of the community residents</w:t>
      </w:r>
      <w:r w:rsidR="003C696F" w:rsidRPr="008C416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C696F" w:rsidRPr="008C4164">
        <w:rPr>
          <w:rFonts w:ascii="Times New Roman" w:hAnsi="Times New Roman" w:cs="Times New Roman"/>
          <w:sz w:val="24"/>
          <w:szCs w:val="24"/>
        </w:rPr>
        <w:t>Roura</w:t>
      </w:r>
      <w:proofErr w:type="spellEnd"/>
      <w:r w:rsidR="003C696F" w:rsidRPr="008C4164">
        <w:rPr>
          <w:rFonts w:ascii="Times New Roman" w:hAnsi="Times New Roman" w:cs="Times New Roman"/>
          <w:sz w:val="24"/>
          <w:szCs w:val="24"/>
        </w:rPr>
        <w:t xml:space="preserve"> et al., 2021)</w:t>
      </w:r>
      <w:r w:rsidR="00215AF7" w:rsidRPr="008C416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4164" w:rsidRDefault="008C4164" w:rsidP="008C416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AF7" w:rsidRPr="008C4164" w:rsidRDefault="00B06010" w:rsidP="008C416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C4164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8C4164" w:rsidRPr="008C4164" w:rsidRDefault="008C4164" w:rsidP="008C4164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C41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Butkus, R., Rapp, K., Cooney, T. G., Engel, L. S., &amp; Health and Public Policy Committee of the American College of Physicians*. (2020). Envisioning a better US health care system for all: reducing barriers to care and addressing social determinants of health. </w:t>
      </w:r>
      <w:r w:rsidRPr="008C416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Annals of Internal Medicine</w:t>
      </w:r>
      <w:r w:rsidRPr="008C41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C416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172</w:t>
      </w:r>
      <w:r w:rsidRPr="008C41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(2_Supplement), S50-S59.</w:t>
      </w:r>
      <w:r w:rsidRPr="008C4164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8C416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https://doi.org/10.7326/M19-2410</w:t>
        </w:r>
      </w:hyperlink>
      <w:r w:rsidRPr="008C41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8C4164" w:rsidRPr="008C4164" w:rsidRDefault="008C4164" w:rsidP="008C4164">
      <w:pPr>
        <w:spacing w:after="0" w:line="48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proofErr w:type="spellStart"/>
      <w:r w:rsidRPr="008C4164">
        <w:rPr>
          <w:rFonts w:ascii="Times New Roman" w:hAnsi="Times New Roman" w:cs="Times New Roman"/>
          <w:sz w:val="24"/>
          <w:szCs w:val="24"/>
        </w:rPr>
        <w:t>Roura</w:t>
      </w:r>
      <w:proofErr w:type="spellEnd"/>
      <w:r w:rsidRPr="008C4164">
        <w:rPr>
          <w:rFonts w:ascii="Times New Roman" w:hAnsi="Times New Roman" w:cs="Times New Roman"/>
          <w:sz w:val="24"/>
          <w:szCs w:val="24"/>
        </w:rPr>
        <w:t xml:space="preserve">, M., Dias, S., </w:t>
      </w:r>
      <w:proofErr w:type="spellStart"/>
      <w:r w:rsidRPr="008C4164">
        <w:rPr>
          <w:rFonts w:ascii="Times New Roman" w:hAnsi="Times New Roman" w:cs="Times New Roman"/>
          <w:sz w:val="24"/>
          <w:szCs w:val="24"/>
        </w:rPr>
        <w:t>LeMaster</w:t>
      </w:r>
      <w:proofErr w:type="spellEnd"/>
      <w:r w:rsidRPr="008C4164">
        <w:rPr>
          <w:rFonts w:ascii="Times New Roman" w:hAnsi="Times New Roman" w:cs="Times New Roman"/>
          <w:sz w:val="24"/>
          <w:szCs w:val="24"/>
        </w:rPr>
        <w:t>, J. W., &amp; MacFarlane, A. (2021). Participatory health research with migrants: Opportunities, challenges, and way forwards. </w:t>
      </w:r>
      <w:r w:rsidRPr="008C4164">
        <w:rPr>
          <w:rFonts w:ascii="Times New Roman" w:hAnsi="Times New Roman" w:cs="Times New Roman"/>
          <w:i/>
          <w:iCs/>
          <w:sz w:val="24"/>
          <w:szCs w:val="24"/>
        </w:rPr>
        <w:t xml:space="preserve">Health </w:t>
      </w:r>
      <w:proofErr w:type="gramStart"/>
      <w:r w:rsidRPr="008C4164">
        <w:rPr>
          <w:rFonts w:ascii="Times New Roman" w:hAnsi="Times New Roman" w:cs="Times New Roman"/>
          <w:i/>
          <w:iCs/>
          <w:sz w:val="24"/>
          <w:szCs w:val="24"/>
        </w:rPr>
        <w:t>expectations :</w:t>
      </w:r>
      <w:proofErr w:type="gramEnd"/>
      <w:r w:rsidRPr="008C4164">
        <w:rPr>
          <w:rFonts w:ascii="Times New Roman" w:hAnsi="Times New Roman" w:cs="Times New Roman"/>
          <w:i/>
          <w:iCs/>
          <w:sz w:val="24"/>
          <w:szCs w:val="24"/>
        </w:rPr>
        <w:t xml:space="preserve"> an international journal of public participation in health care and health policy</w:t>
      </w:r>
      <w:r w:rsidRPr="008C4164">
        <w:rPr>
          <w:rFonts w:ascii="Times New Roman" w:hAnsi="Times New Roman" w:cs="Times New Roman"/>
          <w:sz w:val="24"/>
          <w:szCs w:val="24"/>
        </w:rPr>
        <w:t>, </w:t>
      </w:r>
      <w:r w:rsidRPr="008C4164">
        <w:rPr>
          <w:rFonts w:ascii="Times New Roman" w:hAnsi="Times New Roman" w:cs="Times New Roman"/>
          <w:i/>
          <w:iCs/>
          <w:sz w:val="24"/>
          <w:szCs w:val="24"/>
        </w:rPr>
        <w:t>24</w:t>
      </w:r>
      <w:r w:rsidRPr="008C4164">
        <w:rPr>
          <w:rFonts w:ascii="Times New Roman" w:hAnsi="Times New Roman" w:cs="Times New Roman"/>
          <w:sz w:val="24"/>
          <w:szCs w:val="24"/>
        </w:rPr>
        <w:t xml:space="preserve">(2), 188–197. </w:t>
      </w:r>
      <w:hyperlink r:id="rId5" w:history="1">
        <w:r w:rsidRPr="008C416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https://doi.org/10.1111/hex.13201</w:t>
        </w:r>
      </w:hyperlink>
    </w:p>
    <w:p w:rsidR="008C4164" w:rsidRPr="008C4164" w:rsidRDefault="008C4164" w:rsidP="008C416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C41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Wallace, E. J., Mathias, J. L., &amp; Ward, L. (2018). The relationship between diffusion tensor imaging findings and cognitive outcomes following adult traumatic brain injury: a meta-analysis. </w:t>
      </w:r>
      <w:r w:rsidRPr="008C416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Neuroscience &amp; Biobehavioral Reviews</w:t>
      </w:r>
      <w:r w:rsidRPr="008C41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C416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92</w:t>
      </w:r>
      <w:r w:rsidRPr="008C41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93-103.</w:t>
      </w:r>
      <w:r w:rsidRPr="008C416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8C416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https://doi.org/10.1016/j.neubiorev.2018.05.023</w:t>
        </w:r>
      </w:hyperlink>
      <w:r w:rsidRPr="008C41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8C4164" w:rsidRPr="008C41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8631F"/>
    <w:rsid w:val="00060565"/>
    <w:rsid w:val="000B1364"/>
    <w:rsid w:val="000B6F56"/>
    <w:rsid w:val="00106E55"/>
    <w:rsid w:val="00142E15"/>
    <w:rsid w:val="0017506F"/>
    <w:rsid w:val="001861F7"/>
    <w:rsid w:val="001A2823"/>
    <w:rsid w:val="001E5546"/>
    <w:rsid w:val="00215AF7"/>
    <w:rsid w:val="00292884"/>
    <w:rsid w:val="00296B7A"/>
    <w:rsid w:val="002C369B"/>
    <w:rsid w:val="00320B8D"/>
    <w:rsid w:val="003635E6"/>
    <w:rsid w:val="0037071F"/>
    <w:rsid w:val="003878ED"/>
    <w:rsid w:val="003903AD"/>
    <w:rsid w:val="00395110"/>
    <w:rsid w:val="003B07A5"/>
    <w:rsid w:val="003C696F"/>
    <w:rsid w:val="003F3BC3"/>
    <w:rsid w:val="0041068E"/>
    <w:rsid w:val="004518D5"/>
    <w:rsid w:val="004678B2"/>
    <w:rsid w:val="0048631F"/>
    <w:rsid w:val="005006A3"/>
    <w:rsid w:val="00543BD1"/>
    <w:rsid w:val="00562D2C"/>
    <w:rsid w:val="005D00E1"/>
    <w:rsid w:val="005D197E"/>
    <w:rsid w:val="005D545F"/>
    <w:rsid w:val="005E7A17"/>
    <w:rsid w:val="00646D50"/>
    <w:rsid w:val="00646FB3"/>
    <w:rsid w:val="00687879"/>
    <w:rsid w:val="006B514C"/>
    <w:rsid w:val="006D0974"/>
    <w:rsid w:val="006D4DDF"/>
    <w:rsid w:val="00745C08"/>
    <w:rsid w:val="007A3C94"/>
    <w:rsid w:val="007D1B51"/>
    <w:rsid w:val="008252C3"/>
    <w:rsid w:val="00832600"/>
    <w:rsid w:val="00857B51"/>
    <w:rsid w:val="008C0D99"/>
    <w:rsid w:val="008C4164"/>
    <w:rsid w:val="008D4004"/>
    <w:rsid w:val="008D70A1"/>
    <w:rsid w:val="008F41B1"/>
    <w:rsid w:val="00923872"/>
    <w:rsid w:val="00940EFE"/>
    <w:rsid w:val="00945560"/>
    <w:rsid w:val="00954F0E"/>
    <w:rsid w:val="009948BF"/>
    <w:rsid w:val="009E6547"/>
    <w:rsid w:val="00A55CA5"/>
    <w:rsid w:val="00AE71F1"/>
    <w:rsid w:val="00B06010"/>
    <w:rsid w:val="00B24CB9"/>
    <w:rsid w:val="00BC08AB"/>
    <w:rsid w:val="00BC53FC"/>
    <w:rsid w:val="00C102A3"/>
    <w:rsid w:val="00C37A17"/>
    <w:rsid w:val="00C76A23"/>
    <w:rsid w:val="00CB4903"/>
    <w:rsid w:val="00D379D0"/>
    <w:rsid w:val="00D93104"/>
    <w:rsid w:val="00DB256C"/>
    <w:rsid w:val="00E831FE"/>
    <w:rsid w:val="00ED1D0E"/>
    <w:rsid w:val="00EF12A2"/>
    <w:rsid w:val="00F252C2"/>
    <w:rsid w:val="00F32207"/>
    <w:rsid w:val="00F43E32"/>
    <w:rsid w:val="00F47E01"/>
    <w:rsid w:val="00F67339"/>
    <w:rsid w:val="00F67E92"/>
    <w:rsid w:val="00F74708"/>
    <w:rsid w:val="00F961A2"/>
    <w:rsid w:val="00FA01B8"/>
    <w:rsid w:val="00FB4AA5"/>
    <w:rsid w:val="00FE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02DBA"/>
  <w15:chartTrackingRefBased/>
  <w15:docId w15:val="{CA1FE2D6-E06F-4906-BA69-96AE907F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69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6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/j.neubiorev.2018.05.023" TargetMode="External"/><Relationship Id="rId5" Type="http://schemas.openxmlformats.org/officeDocument/2006/relationships/hyperlink" Target="https://doi.org/10.1111/hex.13201" TargetMode="External"/><Relationship Id="rId4" Type="http://schemas.openxmlformats.org/officeDocument/2006/relationships/hyperlink" Target="https://doi.org/10.7326/M19-2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37</cp:revision>
  <dcterms:created xsi:type="dcterms:W3CDTF">2022-09-20T17:46:00Z</dcterms:created>
  <dcterms:modified xsi:type="dcterms:W3CDTF">2022-09-21T17:20:00Z</dcterms:modified>
</cp:coreProperties>
</file>