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B2E78" w:rsidRDefault="00794633" w:rsidP="00BB2E78">
      <w:pPr>
        <w:rPr>
          <w:color w:val="FF0000"/>
        </w:rPr>
      </w:pPr>
      <w:r>
        <w:rPr>
          <w:b/>
          <w:noProof/>
        </w:rPr>
        <mc:AlternateContent>
          <mc:Choice Requires="wps">
            <w:drawing>
              <wp:anchor distT="0" distB="0" distL="114300" distR="114300" simplePos="0" relativeHeight="251659264" behindDoc="0" locked="0" layoutInCell="1" allowOverlap="1">
                <wp:simplePos x="0" y="0"/>
                <wp:positionH relativeFrom="margin">
                  <wp:posOffset>-95003</wp:posOffset>
                </wp:positionH>
                <wp:positionV relativeFrom="paragraph">
                  <wp:posOffset>-47501</wp:posOffset>
                </wp:positionV>
                <wp:extent cx="6246421" cy="8253350"/>
                <wp:effectExtent l="0" t="0" r="21590" b="14605"/>
                <wp:wrapNone/>
                <wp:docPr id="2" name="Text Box 2"/>
                <wp:cNvGraphicFramePr/>
                <a:graphic xmlns:a="http://schemas.openxmlformats.org/drawingml/2006/main">
                  <a:graphicData uri="http://schemas.microsoft.com/office/word/2010/wordprocessingShape">
                    <wps:wsp>
                      <wps:cNvSpPr txBox="1"/>
                      <wps:spPr>
                        <a:xfrm>
                          <a:off x="0" y="0"/>
                          <a:ext cx="6246421" cy="82533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794633" w:rsidRDefault="00794633"/>
                          <w:p w:rsidR="00951412" w:rsidRDefault="00951412"/>
                          <w:p w:rsidR="00985677" w:rsidRDefault="00985677"/>
                          <w:p w:rsidR="00C12097" w:rsidRDefault="00C12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3.75pt;width:491.85pt;height:64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" filled="f" strokecolor="black [3200]">
                <v:stroke joinstyle="round"/>
                <v:textbox>
                  <w:txbxContent>
                    <w:p w:rsidR="00794633" w:rsidRDefault="00794633"/>
                    <w:p w:rsidR="00951412" w:rsidRDefault="00951412"/>
                    <w:p w:rsidR="00985677" w:rsidRDefault="00985677"/>
                    <w:p w:rsidR="00C12097" w:rsidRDefault="00C12097"/>
                  </w:txbxContent>
                </v:textbox>
                <w10:wrap anchorx="margin"/>
              </v:shape>
            </w:pict>
          </mc:Fallback>
        </mc:AlternateContent>
      </w:r>
      <w:r w:rsidR="00BB2E78" w:rsidRPr="00C50505">
        <w:rPr>
          <w:b/>
        </w:rPr>
        <w:t>Disease Process:</w:t>
      </w:r>
      <w:r w:rsidR="00BB2E78">
        <w:t xml:space="preserve"> Pernicious anemia is a megaloblastic type of anemia that results from a paucity of either folic acid also denoted as vitamin B9 or cyanocobalamin which is vitamin B12. Additionally, vitamin B12 is triggered by a deficit </w:t>
      </w:r>
      <w:r w:rsidR="00C84E55">
        <w:t xml:space="preserve">of the intrinsic factor. </w:t>
      </w:r>
      <w:r w:rsidR="00BB2E78">
        <w:t xml:space="preserve">As such, </w:t>
      </w:r>
      <w:r w:rsidR="00C84E55">
        <w:t>this condition</w:t>
      </w:r>
      <w:r w:rsidR="00BB2E78">
        <w:t xml:space="preserve"> can be described as an autoimmune syndromes because of the presence of the gastric autoantibodies controlled contrary to the parietal cells and the intrinsic factor (VanMeter &amp; Hubert, 2018). </w:t>
      </w:r>
    </w:p>
    <w:p w:rsidR="00284B36" w:rsidRDefault="00284B36" w:rsidP="00BB2E78">
      <w:pPr>
        <w:rPr>
          <w:b/>
          <w:color w:val="0D0D0D" w:themeColor="text1" w:themeTint="F2"/>
        </w:rPr>
      </w:pPr>
    </w:p>
    <w:p w:rsidR="00284B36" w:rsidRDefault="00BB2E78" w:rsidP="00BB2E78">
      <w:r w:rsidRPr="00C50505">
        <w:rPr>
          <w:b/>
          <w:color w:val="0D0D0D" w:themeColor="text1" w:themeTint="F2"/>
        </w:rPr>
        <w:t xml:space="preserve">Pathophysiology: </w:t>
      </w:r>
      <w:r w:rsidRPr="00C50505">
        <w:rPr>
          <w:color w:val="0D0D0D" w:themeColor="text1" w:themeTint="F2"/>
        </w:rPr>
        <w:t>Pernicious</w:t>
      </w:r>
      <w:r>
        <w:rPr>
          <w:color w:val="0D0D0D" w:themeColor="text1" w:themeTint="F2"/>
        </w:rPr>
        <w:t xml:space="preserve"> anemia is the most pervasive form of </w:t>
      </w:r>
      <w:r>
        <w:t>megaloblastic anemia that is instigated by the abnormal assimilation of vitamin B12 due to the scantiness of intrinsic factor. Per se, vitamin B12 and intrinsic factor cohere to receptors on the ileum to allow for absorption (VanMeter &amp; Hubert, 2018). Once B12 is completely engrossed becomes a cofactor for the methionine synthase enzyme, which contributes to the process of converting homocysteine to methionine. If at all the procedure does not take place as a result of pernicious anemia, the homocysteine levels accrue making it difficult for the pyrimidine bases to form. Thus, meddling with the DNA synthesis that causes vitamin B12 deficiency and weakened maturation of erythrocytes (Htut, Thein &amp; Oo, 2021). When these erythrocytes are damaged precipitately, anemia manifests. When the parietal cells cease to generate hydrochloric acid, low levels of the acid persist in the gastric secretions and inhibits the initial digestion of protein in the stomach. As well as the absorption of iron causing iron-deficiency anemia</w:t>
      </w:r>
    </w:p>
    <w:p w:rsidR="00284B36" w:rsidRDefault="00284B36" w:rsidP="00BB2E78">
      <w:pPr>
        <w:rPr>
          <w:b/>
        </w:rPr>
      </w:pPr>
    </w:p>
    <w:p w:rsidR="00BB2E78" w:rsidRDefault="00BB2E78" w:rsidP="00BB2E78">
      <w:r w:rsidRPr="00C50505">
        <w:rPr>
          <w:b/>
        </w:rPr>
        <w:t xml:space="preserve">Risk factors: </w:t>
      </w:r>
      <w:r w:rsidRPr="00115D2F">
        <w:t xml:space="preserve">Some of the </w:t>
      </w:r>
      <w:r>
        <w:t>risk factors include</w:t>
      </w:r>
    </w:p>
    <w:p w:rsidR="00BB2E78" w:rsidRDefault="00BB2E78" w:rsidP="00BB2E78">
      <w:r>
        <w:t>A family history of pernicious anemia.</w:t>
      </w:r>
    </w:p>
    <w:p w:rsidR="00726856" w:rsidRDefault="00BB2E78" w:rsidP="00BB2E78">
      <w:r>
        <w:t>Having undergone stomach</w:t>
      </w:r>
      <w:r w:rsidR="00726856">
        <w:t xml:space="preserve"> and small intestine surgery.</w:t>
      </w:r>
    </w:p>
    <w:p w:rsidR="00BB2E78" w:rsidRDefault="00BB2E78" w:rsidP="00BB2E78">
      <w:r>
        <w:t>Autoimmune syndrome that encompasses endocrine glands.</w:t>
      </w:r>
    </w:p>
    <w:p w:rsidR="00BB2E78" w:rsidRDefault="00BB2E78" w:rsidP="00BB2E78">
      <w:r>
        <w:t>Poor nutrition and being a vegetarian who does not take vitamin B12 supplements (Rodriguez &amp; Shackelford, 2020).</w:t>
      </w:r>
    </w:p>
    <w:p w:rsidR="00284B36" w:rsidRDefault="00284B36" w:rsidP="00BB2E78">
      <w:pPr>
        <w:rPr>
          <w:b/>
        </w:rPr>
      </w:pPr>
    </w:p>
    <w:p w:rsidR="00726856" w:rsidRPr="00063C3D" w:rsidRDefault="00BB2E78" w:rsidP="00BB2E78">
      <w:pPr>
        <w:rPr>
          <w:b/>
        </w:rPr>
      </w:pPr>
      <w:r w:rsidRPr="00C50505">
        <w:rPr>
          <w:b/>
        </w:rPr>
        <w:t>Major signs and symptoms</w:t>
      </w:r>
    </w:p>
    <w:p w:rsidR="00063C3D" w:rsidRDefault="00BB2E78" w:rsidP="00BB2E78">
      <w:r w:rsidRPr="00BB2E78">
        <w:rPr>
          <w:noProof/>
        </w:rPr>
        <w:drawing>
          <wp:anchor distT="0" distB="0" distL="114300" distR="114300" simplePos="0" relativeHeight="251658240" behindDoc="0" locked="0" layoutInCell="1" allowOverlap="1">
            <wp:simplePos x="914400" y="6483927"/>
            <wp:positionH relativeFrom="column">
              <wp:align>left</wp:align>
            </wp:positionH>
            <wp:positionV relativeFrom="paragraph">
              <wp:align>top</wp:align>
            </wp:positionV>
            <wp:extent cx="2434442" cy="1935327"/>
            <wp:effectExtent l="0" t="0" r="4445" b="8255"/>
            <wp:wrapSquare wrapText="bothSides"/>
            <wp:docPr id="1" name="Picture 1" descr="Pernicious Anemia: Symptoms, Causes, Diagnosis,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nicious Anemia: Symptoms, Causes, Diagnosis, and Treat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4442" cy="1935327"/>
                    </a:xfrm>
                    <a:prstGeom prst="rect">
                      <a:avLst/>
                    </a:prstGeom>
                    <a:noFill/>
                    <a:ln>
                      <a:noFill/>
                    </a:ln>
                  </pic:spPr>
                </pic:pic>
              </a:graphicData>
            </a:graphic>
          </wp:anchor>
        </w:drawing>
      </w:r>
    </w:p>
    <w:p w:rsidR="00063C3D" w:rsidRPr="00063C3D" w:rsidRDefault="00063C3D" w:rsidP="00063C3D"/>
    <w:p w:rsidR="00063C3D" w:rsidRPr="00063C3D" w:rsidRDefault="00063C3D" w:rsidP="00063C3D"/>
    <w:p w:rsidR="00063C3D" w:rsidRPr="00063C3D" w:rsidRDefault="00063C3D" w:rsidP="00063C3D"/>
    <w:p w:rsidR="00063C3D" w:rsidRPr="00063C3D" w:rsidRDefault="00063C3D" w:rsidP="00063C3D"/>
    <w:p w:rsidR="00063C3D" w:rsidRPr="00063C3D" w:rsidRDefault="00063C3D" w:rsidP="00063C3D"/>
    <w:p w:rsidR="00063C3D" w:rsidRPr="00063C3D" w:rsidRDefault="00063C3D" w:rsidP="00063C3D"/>
    <w:p w:rsidR="00063C3D" w:rsidRPr="00063C3D" w:rsidRDefault="00063C3D" w:rsidP="00063C3D"/>
    <w:p w:rsidR="00063C3D" w:rsidRDefault="00063C3D" w:rsidP="00BB2E78"/>
    <w:p w:rsidR="00284B36" w:rsidRDefault="00063C3D" w:rsidP="00BB2E78">
      <w:pPr>
        <w:rPr>
          <w:b/>
        </w:rPr>
      </w:pPr>
      <w:r>
        <w:t>(Hickman, 2021).</w:t>
      </w:r>
      <w:r w:rsidR="002360F5">
        <w:br w:type="textWrapping" w:clear="all"/>
      </w:r>
    </w:p>
    <w:p w:rsidR="00BB2E78" w:rsidRPr="00063C3D" w:rsidRDefault="00BB2E78" w:rsidP="00BB2E78">
      <w:r w:rsidRPr="00C50505">
        <w:rPr>
          <w:b/>
        </w:rPr>
        <w:t xml:space="preserve">Diagnostic testing: </w:t>
      </w:r>
      <w:r w:rsidRPr="00253238">
        <w:t>The</w:t>
      </w:r>
      <w:r>
        <w:t xml:space="preserve"> key diagnostic tests of pernicious anemia are anti-intrinsic factor, serum gastrin test, full blood count and parietal cell antibodies. The anti-intrinsic factor is the gold standard test that detects whether the patient has pernicious anemia in its totality (Htut, Thein &amp; Oo, 2021).</w:t>
      </w:r>
    </w:p>
    <w:p w:rsidR="00D5429D" w:rsidRPr="0012098B" w:rsidRDefault="00794633" w:rsidP="0012098B">
      <w:pPr>
        <w:jc w:val="center"/>
        <w:rPr>
          <w:b/>
        </w:rPr>
      </w:pPr>
      <w:r w:rsidRPr="0012098B">
        <w:rPr>
          <w:b/>
        </w:rPr>
        <w:lastRenderedPageBreak/>
        <w:t>References</w:t>
      </w:r>
    </w:p>
    <w:p w:rsidR="00794633" w:rsidRDefault="00794633" w:rsidP="0012098B">
      <w:pPr>
        <w:ind w:left="720" w:hanging="720"/>
      </w:pPr>
      <w:r w:rsidRPr="00794633">
        <w:t>Hickman, R. J. (2021). </w:t>
      </w:r>
      <w:r w:rsidRPr="00794633">
        <w:rPr>
          <w:i/>
          <w:iCs/>
        </w:rPr>
        <w:t>What should I know about pernicious anemia?</w:t>
      </w:r>
      <w:r w:rsidRPr="00794633">
        <w:t> Verywell Health. </w:t>
      </w:r>
      <w:hyperlink r:id="rId8" w:history="1">
        <w:r w:rsidRPr="00D65B39">
          <w:rPr>
            <w:rStyle w:val="Hyperlink"/>
          </w:rPr>
          <w:t>https://www.verywellhealth.com/pernicious-anemia-5085455</w:t>
        </w:r>
      </w:hyperlink>
    </w:p>
    <w:p w:rsidR="006310AB" w:rsidRDefault="006310AB" w:rsidP="0012098B">
      <w:pPr>
        <w:ind w:left="720" w:hanging="720"/>
      </w:pPr>
      <w:r w:rsidRPr="006310AB">
        <w:t>Htut, T. W., Thein, K. Z., &amp; Oo, T. H. (2021). Pernicious anemia: Pathophysiology and diagnostic difficulties. </w:t>
      </w:r>
      <w:r w:rsidRPr="006310AB">
        <w:rPr>
          <w:i/>
          <w:iCs/>
        </w:rPr>
        <w:t>Journal of evidence-based medicine</w:t>
      </w:r>
      <w:r w:rsidRPr="006310AB">
        <w:t>, </w:t>
      </w:r>
      <w:r w:rsidRPr="006310AB">
        <w:rPr>
          <w:i/>
          <w:iCs/>
        </w:rPr>
        <w:t>14</w:t>
      </w:r>
      <w:r w:rsidRPr="006310AB">
        <w:t xml:space="preserve">(2), 161–169. </w:t>
      </w:r>
      <w:hyperlink r:id="rId9" w:history="1">
        <w:r w:rsidRPr="00D65B39">
          <w:rPr>
            <w:rStyle w:val="Hyperlink"/>
          </w:rPr>
          <w:t>https://doi.org/10.1111/jebm.12435</w:t>
        </w:r>
      </w:hyperlink>
    </w:p>
    <w:p w:rsidR="0011719F" w:rsidRDefault="0011719F" w:rsidP="0012098B">
      <w:pPr>
        <w:ind w:left="720" w:hanging="720"/>
      </w:pPr>
      <w:r w:rsidRPr="0011719F">
        <w:t>Rodriguez, N. M., &amp; Shackelford, K. (2020, November 21). </w:t>
      </w:r>
      <w:r w:rsidRPr="0011719F">
        <w:rPr>
          <w:i/>
          <w:iCs/>
        </w:rPr>
        <w:t>Pernicious anemia - StatPearls - NCBI bookshelf</w:t>
      </w:r>
      <w:r w:rsidRPr="0011719F">
        <w:t>. National Center for Biotechnology Information. </w:t>
      </w:r>
      <w:hyperlink r:id="rId10" w:history="1">
        <w:r w:rsidRPr="00D65B39">
          <w:rPr>
            <w:rStyle w:val="Hyperlink"/>
          </w:rPr>
          <w:t>https://www.ncbi.nlm.nih.gov/books/NBK540989/</w:t>
        </w:r>
      </w:hyperlink>
    </w:p>
    <w:p w:rsidR="006310AB" w:rsidRPr="006310AB" w:rsidRDefault="006310AB" w:rsidP="0012098B">
      <w:pPr>
        <w:ind w:left="720" w:hanging="720"/>
      </w:pPr>
      <w:r w:rsidRPr="006310AB">
        <w:t>VanMeter, K. C., &amp; Hubert, R. J. (2018). </w:t>
      </w:r>
      <w:r w:rsidRPr="006310AB">
        <w:rPr>
          <w:i/>
          <w:iCs/>
        </w:rPr>
        <w:t>Gould's pathophysiology for the health professions</w:t>
      </w:r>
      <w:r w:rsidRPr="006310AB">
        <w:t xml:space="preserve">. (6th ed.). Elsevier Saunders. Chapter </w:t>
      </w:r>
      <w:r>
        <w:t>10: Blood and Circulatory Systems Disorders</w:t>
      </w:r>
    </w:p>
    <w:p w:rsidR="006310AB" w:rsidRPr="006310AB" w:rsidRDefault="006310AB" w:rsidP="0012098B">
      <w:pPr>
        <w:ind w:left="720" w:hanging="720"/>
      </w:pPr>
    </w:p>
    <w:p w:rsidR="006310AB" w:rsidRDefault="006310AB" w:rsidP="0012098B">
      <w:pPr>
        <w:ind w:left="720" w:hanging="720"/>
      </w:pPr>
    </w:p>
    <w:p w:rsidR="0011719F" w:rsidRPr="0011719F" w:rsidRDefault="0011719F" w:rsidP="0011719F"/>
    <w:p w:rsidR="0011719F" w:rsidRDefault="0011719F" w:rsidP="00794633"/>
    <w:p w:rsidR="0011719F" w:rsidRDefault="0011719F" w:rsidP="00794633"/>
    <w:p w:rsidR="00794633" w:rsidRPr="00794633" w:rsidRDefault="00794633" w:rsidP="00794633"/>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Default="0012098B" w:rsidP="0012098B">
      <w:pPr>
        <w:rPr>
          <w:b/>
        </w:rPr>
      </w:pPr>
    </w:p>
    <w:p w:rsidR="0012098B" w:rsidRPr="0009391B" w:rsidRDefault="0012098B" w:rsidP="0009391B">
      <w:pPr>
        <w:spacing w:line="480" w:lineRule="auto"/>
        <w:jc w:val="center"/>
        <w:rPr>
          <w:rFonts w:ascii="Times New Roman" w:hAnsi="Times New Roman" w:cs="Times New Roman"/>
          <w:b/>
        </w:rPr>
      </w:pPr>
      <w:r w:rsidRPr="0009391B">
        <w:rPr>
          <w:rFonts w:ascii="Times New Roman" w:hAnsi="Times New Roman" w:cs="Times New Roman"/>
          <w:b/>
        </w:rPr>
        <w:lastRenderedPageBreak/>
        <w:t>Case Presentation Response:</w:t>
      </w:r>
    </w:p>
    <w:p w:rsidR="00AA4D3C" w:rsidRPr="0009391B" w:rsidRDefault="00F207F9" w:rsidP="0009391B">
      <w:pPr>
        <w:spacing w:line="480" w:lineRule="auto"/>
        <w:ind w:firstLine="720"/>
        <w:rPr>
          <w:rFonts w:ascii="Times New Roman" w:hAnsi="Times New Roman" w:cs="Times New Roman"/>
        </w:rPr>
      </w:pPr>
      <w:r w:rsidRPr="0009391B">
        <w:rPr>
          <w:rFonts w:ascii="Times New Roman" w:hAnsi="Times New Roman" w:cs="Times New Roman"/>
        </w:rPr>
        <w:t xml:space="preserve">P.M is a 62-year old Caucasian female </w:t>
      </w:r>
      <w:r w:rsidR="005A054B">
        <w:rPr>
          <w:rFonts w:ascii="Times New Roman" w:hAnsi="Times New Roman" w:cs="Times New Roman"/>
        </w:rPr>
        <w:t xml:space="preserve">who </w:t>
      </w:r>
      <w:r w:rsidR="00277DEF" w:rsidRPr="0009391B">
        <w:rPr>
          <w:rFonts w:ascii="Times New Roman" w:hAnsi="Times New Roman" w:cs="Times New Roman"/>
        </w:rPr>
        <w:t xml:space="preserve">visits the clinic with </w:t>
      </w:r>
      <w:r w:rsidR="00F76427" w:rsidRPr="0009391B">
        <w:rPr>
          <w:rFonts w:ascii="Times New Roman" w:hAnsi="Times New Roman" w:cs="Times New Roman"/>
        </w:rPr>
        <w:t xml:space="preserve">chief </w:t>
      </w:r>
      <w:r w:rsidR="00277DEF" w:rsidRPr="0009391B">
        <w:rPr>
          <w:rFonts w:ascii="Times New Roman" w:hAnsi="Times New Roman" w:cs="Times New Roman"/>
        </w:rPr>
        <w:t xml:space="preserve">complaints of general fatigue, muscle weakness, </w:t>
      </w:r>
      <w:r w:rsidR="00644451" w:rsidRPr="0009391B">
        <w:rPr>
          <w:rFonts w:ascii="Times New Roman" w:hAnsi="Times New Roman" w:cs="Times New Roman"/>
        </w:rPr>
        <w:t>recurrent headaches</w:t>
      </w:r>
      <w:r w:rsidR="00F73666" w:rsidRPr="0009391B">
        <w:rPr>
          <w:rFonts w:ascii="Times New Roman" w:hAnsi="Times New Roman" w:cs="Times New Roman"/>
        </w:rPr>
        <w:t>, weight loss</w:t>
      </w:r>
      <w:r w:rsidR="00644451" w:rsidRPr="0009391B">
        <w:rPr>
          <w:rFonts w:ascii="Times New Roman" w:hAnsi="Times New Roman" w:cs="Times New Roman"/>
        </w:rPr>
        <w:t xml:space="preserve"> and dizziness</w:t>
      </w:r>
      <w:r w:rsidR="00F73666" w:rsidRPr="0009391B">
        <w:rPr>
          <w:rFonts w:ascii="Times New Roman" w:hAnsi="Times New Roman" w:cs="Times New Roman"/>
        </w:rPr>
        <w:t xml:space="preserve"> for the last </w:t>
      </w:r>
      <w:r w:rsidR="00636323" w:rsidRPr="0009391B">
        <w:rPr>
          <w:rFonts w:ascii="Times New Roman" w:hAnsi="Times New Roman" w:cs="Times New Roman"/>
        </w:rPr>
        <w:t>three</w:t>
      </w:r>
      <w:r w:rsidR="00F73666" w:rsidRPr="0009391B">
        <w:rPr>
          <w:rFonts w:ascii="Times New Roman" w:hAnsi="Times New Roman" w:cs="Times New Roman"/>
        </w:rPr>
        <w:t xml:space="preserve"> week</w:t>
      </w:r>
      <w:r w:rsidR="00636323" w:rsidRPr="0009391B">
        <w:rPr>
          <w:rFonts w:ascii="Times New Roman" w:hAnsi="Times New Roman" w:cs="Times New Roman"/>
        </w:rPr>
        <w:t>s</w:t>
      </w:r>
      <w:r w:rsidR="00F73666" w:rsidRPr="0009391B">
        <w:rPr>
          <w:rFonts w:ascii="Times New Roman" w:hAnsi="Times New Roman" w:cs="Times New Roman"/>
        </w:rPr>
        <w:t>.</w:t>
      </w:r>
      <w:r w:rsidR="005A054B">
        <w:rPr>
          <w:rFonts w:ascii="Times New Roman" w:hAnsi="Times New Roman" w:cs="Times New Roman"/>
        </w:rPr>
        <w:t xml:space="preserve"> </w:t>
      </w:r>
      <w:r w:rsidR="005A054B" w:rsidRPr="0009391B">
        <w:rPr>
          <w:rFonts w:ascii="Times New Roman" w:hAnsi="Times New Roman" w:cs="Times New Roman"/>
        </w:rPr>
        <w:t>In addition, the patient admits to experiencing shortness of breath.</w:t>
      </w:r>
      <w:r w:rsidR="00F73666" w:rsidRPr="0009391B">
        <w:rPr>
          <w:rFonts w:ascii="Times New Roman" w:hAnsi="Times New Roman" w:cs="Times New Roman"/>
        </w:rPr>
        <w:t xml:space="preserve"> </w:t>
      </w:r>
      <w:r w:rsidR="00F76427" w:rsidRPr="0009391B">
        <w:rPr>
          <w:rFonts w:ascii="Times New Roman" w:hAnsi="Times New Roman" w:cs="Times New Roman"/>
        </w:rPr>
        <w:t>Upon enquiry the</w:t>
      </w:r>
      <w:r w:rsidR="00553F6C" w:rsidRPr="0009391B">
        <w:rPr>
          <w:rFonts w:ascii="Times New Roman" w:hAnsi="Times New Roman" w:cs="Times New Roman"/>
        </w:rPr>
        <w:t xml:space="preserve"> patient reports to having gastrectomy five years ago</w:t>
      </w:r>
      <w:r w:rsidR="00636323" w:rsidRPr="0009391B">
        <w:rPr>
          <w:rFonts w:ascii="Times New Roman" w:hAnsi="Times New Roman" w:cs="Times New Roman"/>
        </w:rPr>
        <w:t xml:space="preserve"> and a history of iron deficiency anemia</w:t>
      </w:r>
      <w:r w:rsidR="00E62807" w:rsidRPr="0009391B">
        <w:rPr>
          <w:rFonts w:ascii="Times New Roman" w:hAnsi="Times New Roman" w:cs="Times New Roman"/>
        </w:rPr>
        <w:t xml:space="preserve"> as well as hypertension</w:t>
      </w:r>
      <w:r w:rsidR="005E4445" w:rsidRPr="0009391B">
        <w:rPr>
          <w:rFonts w:ascii="Times New Roman" w:hAnsi="Times New Roman" w:cs="Times New Roman"/>
        </w:rPr>
        <w:t xml:space="preserve">. </w:t>
      </w:r>
      <w:r w:rsidR="00335B57" w:rsidRPr="0009391B">
        <w:rPr>
          <w:rFonts w:ascii="Times New Roman" w:hAnsi="Times New Roman" w:cs="Times New Roman"/>
        </w:rPr>
        <w:t>The patient takes</w:t>
      </w:r>
      <w:r w:rsidR="00511B95" w:rsidRPr="0009391B">
        <w:rPr>
          <w:rFonts w:ascii="Times New Roman" w:hAnsi="Times New Roman" w:cs="Times New Roman"/>
        </w:rPr>
        <w:t xml:space="preserve"> iron</w:t>
      </w:r>
      <w:r w:rsidR="00335B57" w:rsidRPr="0009391B">
        <w:rPr>
          <w:rFonts w:ascii="Times New Roman" w:hAnsi="Times New Roman" w:cs="Times New Roman"/>
        </w:rPr>
        <w:t xml:space="preserve"> supplements and </w:t>
      </w:r>
      <w:r w:rsidR="00E62807" w:rsidRPr="0009391B">
        <w:rPr>
          <w:rFonts w:ascii="Times New Roman" w:hAnsi="Times New Roman" w:cs="Times New Roman"/>
        </w:rPr>
        <w:t>amlodipine drugs</w:t>
      </w:r>
      <w:r w:rsidR="00C8296E" w:rsidRPr="0009391B">
        <w:rPr>
          <w:rFonts w:ascii="Times New Roman" w:hAnsi="Times New Roman" w:cs="Times New Roman"/>
        </w:rPr>
        <w:t>.</w:t>
      </w:r>
      <w:r w:rsidR="00E62807" w:rsidRPr="0009391B">
        <w:rPr>
          <w:rFonts w:ascii="Times New Roman" w:hAnsi="Times New Roman" w:cs="Times New Roman"/>
        </w:rPr>
        <w:t xml:space="preserve"> </w:t>
      </w:r>
      <w:r w:rsidR="005E4445" w:rsidRPr="0009391B">
        <w:rPr>
          <w:rFonts w:ascii="Times New Roman" w:hAnsi="Times New Roman" w:cs="Times New Roman"/>
        </w:rPr>
        <w:t xml:space="preserve">On physical examination, </w:t>
      </w:r>
      <w:r w:rsidR="00C8296E" w:rsidRPr="0009391B">
        <w:rPr>
          <w:rFonts w:ascii="Times New Roman" w:hAnsi="Times New Roman" w:cs="Times New Roman"/>
        </w:rPr>
        <w:t>the client had a pale conjunctiva with an icteric sclera</w:t>
      </w:r>
      <w:r w:rsidR="00AA4D3C" w:rsidRPr="0009391B">
        <w:rPr>
          <w:rFonts w:ascii="Times New Roman" w:hAnsi="Times New Roman" w:cs="Times New Roman"/>
        </w:rPr>
        <w:t>, she had bleeding gums and was weak.</w:t>
      </w:r>
      <w:r w:rsidR="00511B95" w:rsidRPr="0009391B">
        <w:rPr>
          <w:rFonts w:ascii="Times New Roman" w:hAnsi="Times New Roman" w:cs="Times New Roman"/>
        </w:rPr>
        <w:t xml:space="preserve"> P.M’s vital signs were normal albeit her heart rate was 132beats/minute</w:t>
      </w:r>
      <w:r w:rsidR="00305E45" w:rsidRPr="0009391B">
        <w:rPr>
          <w:rFonts w:ascii="Times New Roman" w:hAnsi="Times New Roman" w:cs="Times New Roman"/>
        </w:rPr>
        <w:t xml:space="preserve"> and the neurologic workup was normal</w:t>
      </w:r>
      <w:r w:rsidR="00511B95" w:rsidRPr="0009391B">
        <w:rPr>
          <w:rFonts w:ascii="Times New Roman" w:hAnsi="Times New Roman" w:cs="Times New Roman"/>
        </w:rPr>
        <w:t>.</w:t>
      </w:r>
      <w:r w:rsidR="00C8296E" w:rsidRPr="0009391B">
        <w:rPr>
          <w:rFonts w:ascii="Times New Roman" w:hAnsi="Times New Roman" w:cs="Times New Roman"/>
        </w:rPr>
        <w:t xml:space="preserve"> </w:t>
      </w:r>
      <w:r w:rsidR="0017450D" w:rsidRPr="0009391B">
        <w:rPr>
          <w:rFonts w:ascii="Times New Roman" w:hAnsi="Times New Roman" w:cs="Times New Roman"/>
        </w:rPr>
        <w:t xml:space="preserve">The patient’s tongue was red and swollen. </w:t>
      </w:r>
      <w:r w:rsidR="00305E45" w:rsidRPr="0009391B">
        <w:rPr>
          <w:rFonts w:ascii="Times New Roman" w:hAnsi="Times New Roman" w:cs="Times New Roman"/>
        </w:rPr>
        <w:t>Auxiliary anemia examination also</w:t>
      </w:r>
      <w:r w:rsidR="00EA4948" w:rsidRPr="0009391B">
        <w:rPr>
          <w:rFonts w:ascii="Times New Roman" w:hAnsi="Times New Roman" w:cs="Times New Roman"/>
        </w:rPr>
        <w:t xml:space="preserve"> indicated vitamin B12 deficiency at 60 pg/mL</w:t>
      </w:r>
      <w:r w:rsidR="00BB6B4E" w:rsidRPr="0009391B">
        <w:rPr>
          <w:rFonts w:ascii="Times New Roman" w:hAnsi="Times New Roman" w:cs="Times New Roman"/>
        </w:rPr>
        <w:t>.</w:t>
      </w:r>
      <w:r w:rsidR="00BB6B4E" w:rsidRPr="0009391B">
        <w:rPr>
          <w:rFonts w:ascii="Times New Roman" w:hAnsi="Times New Roman" w:cs="Times New Roman"/>
          <w:color w:val="000000"/>
        </w:rPr>
        <w:t xml:space="preserve"> </w:t>
      </w:r>
      <w:r w:rsidR="00BB6B4E" w:rsidRPr="0009391B">
        <w:rPr>
          <w:rFonts w:ascii="Times New Roman" w:hAnsi="Times New Roman" w:cs="Times New Roman"/>
        </w:rPr>
        <w:t>Homocysteine and methyl-malonic acid levels were at 22.4 </w:t>
      </w:r>
      <w:r w:rsidR="00BB6B4E" w:rsidRPr="0009391B">
        <w:rPr>
          <w:rFonts w:ascii="Times New Roman" w:hAnsi="Times New Roman" w:cs="Times New Roman"/>
          <w:i/>
          <w:iCs/>
        </w:rPr>
        <w:t>μ</w:t>
      </w:r>
      <w:r w:rsidR="00BB6B4E" w:rsidRPr="0009391B">
        <w:rPr>
          <w:rFonts w:ascii="Times New Roman" w:hAnsi="Times New Roman" w:cs="Times New Roman"/>
        </w:rPr>
        <w:t>mol/L</w:t>
      </w:r>
      <w:r w:rsidR="00DB33D4" w:rsidRPr="0009391B">
        <w:rPr>
          <w:rFonts w:ascii="Times New Roman" w:hAnsi="Times New Roman" w:cs="Times New Roman"/>
        </w:rPr>
        <w:t>.</w:t>
      </w:r>
      <w:r w:rsidR="00BB6B4E" w:rsidRPr="0009391B">
        <w:rPr>
          <w:rFonts w:ascii="Times New Roman" w:hAnsi="Times New Roman" w:cs="Times New Roman"/>
        </w:rPr>
        <w:t> </w:t>
      </w:r>
      <w:r w:rsidR="0017450D" w:rsidRPr="0009391B">
        <w:rPr>
          <w:rFonts w:ascii="Times New Roman" w:hAnsi="Times New Roman" w:cs="Times New Roman"/>
        </w:rPr>
        <w:t>As such, based on the client’s symptoms, clinical features</w:t>
      </w:r>
      <w:r w:rsidR="003D3EBC" w:rsidRPr="0009391B">
        <w:rPr>
          <w:rFonts w:ascii="Times New Roman" w:hAnsi="Times New Roman" w:cs="Times New Roman"/>
        </w:rPr>
        <w:t xml:space="preserve"> and</w:t>
      </w:r>
      <w:r w:rsidR="0064437B" w:rsidRPr="0009391B">
        <w:rPr>
          <w:rFonts w:ascii="Times New Roman" w:hAnsi="Times New Roman" w:cs="Times New Roman"/>
        </w:rPr>
        <w:t xml:space="preserve"> age the diagnosis is pernicious anemia</w:t>
      </w:r>
      <w:r w:rsidR="0009391B" w:rsidRPr="0009391B">
        <w:rPr>
          <w:rFonts w:ascii="Times New Roman" w:hAnsi="Times New Roman" w:cs="Times New Roman"/>
        </w:rPr>
        <w:t xml:space="preserve"> (Esposito et al., 2022).</w:t>
      </w:r>
      <w:r w:rsidR="005B552B" w:rsidRPr="0009391B">
        <w:rPr>
          <w:rFonts w:ascii="Times New Roman" w:hAnsi="Times New Roman" w:cs="Times New Roman"/>
        </w:rPr>
        <w:t xml:space="preserve"> The </w:t>
      </w:r>
      <w:r w:rsidR="003D3EBC" w:rsidRPr="0009391B">
        <w:rPr>
          <w:rFonts w:ascii="Times New Roman" w:hAnsi="Times New Roman" w:cs="Times New Roman"/>
        </w:rPr>
        <w:t>diagnostic tests ordered were the</w:t>
      </w:r>
      <w:r w:rsidR="007715B7" w:rsidRPr="0009391B">
        <w:rPr>
          <w:rFonts w:ascii="Times New Roman" w:hAnsi="Times New Roman" w:cs="Times New Roman"/>
        </w:rPr>
        <w:t xml:space="preserve"> complete blood count to determine which type of anemia the patient has and its severity</w:t>
      </w:r>
      <w:r w:rsidR="00ED356F" w:rsidRPr="0009391B">
        <w:rPr>
          <w:rFonts w:ascii="Times New Roman" w:hAnsi="Times New Roman" w:cs="Times New Roman"/>
        </w:rPr>
        <w:t xml:space="preserve"> and the full blood count to measure the amount of the patient’s hemoglobin per red blood cells</w:t>
      </w:r>
      <w:r w:rsidR="006C6918" w:rsidRPr="0009391B">
        <w:rPr>
          <w:rFonts w:ascii="Times New Roman" w:hAnsi="Times New Roman" w:cs="Times New Roman"/>
        </w:rPr>
        <w:t xml:space="preserve"> and detect vitamin B12 deficiency. </w:t>
      </w:r>
      <w:r w:rsidR="00C63969" w:rsidRPr="0009391B">
        <w:rPr>
          <w:rFonts w:ascii="Times New Roman" w:hAnsi="Times New Roman" w:cs="Times New Roman"/>
        </w:rPr>
        <w:t>The treatment recommended for the pat</w:t>
      </w:r>
      <w:r w:rsidR="00E87A4C" w:rsidRPr="0009391B">
        <w:rPr>
          <w:rFonts w:ascii="Times New Roman" w:hAnsi="Times New Roman" w:cs="Times New Roman"/>
        </w:rPr>
        <w:t xml:space="preserve">ient </w:t>
      </w:r>
      <w:r w:rsidR="008D299E" w:rsidRPr="0009391B">
        <w:rPr>
          <w:rFonts w:ascii="Times New Roman" w:hAnsi="Times New Roman" w:cs="Times New Roman"/>
        </w:rPr>
        <w:t>is the</w:t>
      </w:r>
      <w:r w:rsidR="00E87A4C" w:rsidRPr="0009391B">
        <w:rPr>
          <w:rFonts w:ascii="Times New Roman" w:hAnsi="Times New Roman" w:cs="Times New Roman"/>
        </w:rPr>
        <w:t xml:space="preserve"> vitamin B12 monthly injections</w:t>
      </w:r>
      <w:r w:rsidR="0009391B" w:rsidRPr="0009391B">
        <w:rPr>
          <w:rFonts w:ascii="Times New Roman" w:hAnsi="Times New Roman" w:cs="Times New Roman"/>
        </w:rPr>
        <w:t xml:space="preserve"> (Marchi et al., 2020).</w:t>
      </w:r>
      <w:r w:rsidR="008D299E" w:rsidRPr="0009391B">
        <w:rPr>
          <w:rFonts w:ascii="Times New Roman" w:hAnsi="Times New Roman" w:cs="Times New Roman"/>
        </w:rPr>
        <w:t xml:space="preserve"> However, the client will receive daily B12 injections during the first week of commencing treatment with subsequent weekly and monthly shots, respectively.</w:t>
      </w:r>
      <w:r w:rsidR="00B82226" w:rsidRPr="0009391B">
        <w:rPr>
          <w:rFonts w:ascii="Times New Roman" w:hAnsi="Times New Roman" w:cs="Times New Roman"/>
        </w:rPr>
        <w:t xml:space="preserve"> 1,000 to 2,000 mcg/day is the recommended dosage.</w:t>
      </w:r>
    </w:p>
    <w:p w:rsidR="0012098B" w:rsidRPr="00C12097" w:rsidRDefault="0012098B" w:rsidP="00C12097">
      <w:pPr>
        <w:spacing w:line="480" w:lineRule="auto"/>
        <w:jc w:val="center"/>
        <w:rPr>
          <w:rFonts w:ascii="Times New Roman" w:hAnsi="Times New Roman" w:cs="Times New Roman"/>
          <w:b/>
        </w:rPr>
      </w:pPr>
      <w:r w:rsidRPr="00C12097">
        <w:rPr>
          <w:rFonts w:ascii="Times New Roman" w:hAnsi="Times New Roman" w:cs="Times New Roman"/>
          <w:b/>
        </w:rPr>
        <w:t>Reference 1</w:t>
      </w:r>
    </w:p>
    <w:p w:rsidR="006C1544" w:rsidRPr="0009391B" w:rsidRDefault="006C1544" w:rsidP="00C12097">
      <w:pPr>
        <w:spacing w:line="480" w:lineRule="auto"/>
        <w:ind w:left="720" w:hanging="720"/>
        <w:rPr>
          <w:rFonts w:ascii="Times New Roman" w:hAnsi="Times New Roman" w:cs="Times New Roman"/>
        </w:rPr>
      </w:pPr>
      <w:r w:rsidRPr="0009391B">
        <w:rPr>
          <w:rFonts w:ascii="Times New Roman" w:hAnsi="Times New Roman" w:cs="Times New Roman"/>
        </w:rPr>
        <w:t>Esposito, G., Dottori, L., Pivetta, G., Ligato, I., Dilaghi, E., &amp; Lahner, E. (2022). Pernicious anemia: The hematological presentation of a multifaceted disorder caused by cobalamin deficiency. </w:t>
      </w:r>
      <w:r w:rsidRPr="0009391B">
        <w:rPr>
          <w:rFonts w:ascii="Times New Roman" w:hAnsi="Times New Roman" w:cs="Times New Roman"/>
          <w:i/>
          <w:iCs/>
        </w:rPr>
        <w:t>Nutrients</w:t>
      </w:r>
      <w:r w:rsidRPr="0009391B">
        <w:rPr>
          <w:rFonts w:ascii="Times New Roman" w:hAnsi="Times New Roman" w:cs="Times New Roman"/>
        </w:rPr>
        <w:t>, </w:t>
      </w:r>
      <w:r w:rsidRPr="0009391B">
        <w:rPr>
          <w:rFonts w:ascii="Times New Roman" w:hAnsi="Times New Roman" w:cs="Times New Roman"/>
          <w:i/>
          <w:iCs/>
        </w:rPr>
        <w:t>14</w:t>
      </w:r>
      <w:r w:rsidRPr="0009391B">
        <w:rPr>
          <w:rFonts w:ascii="Times New Roman" w:hAnsi="Times New Roman" w:cs="Times New Roman"/>
        </w:rPr>
        <w:t>(8), 1672. </w:t>
      </w:r>
      <w:hyperlink r:id="rId11" w:history="1">
        <w:r w:rsidRPr="0009391B">
          <w:rPr>
            <w:rStyle w:val="Hyperlink"/>
            <w:rFonts w:ascii="Times New Roman" w:hAnsi="Times New Roman" w:cs="Times New Roman"/>
          </w:rPr>
          <w:t>https://doi.org/10.3390/nu14081672</w:t>
        </w:r>
      </w:hyperlink>
    </w:p>
    <w:p w:rsidR="006C1544" w:rsidRPr="0009391B" w:rsidRDefault="006C1544" w:rsidP="00C12097">
      <w:pPr>
        <w:spacing w:line="480" w:lineRule="auto"/>
        <w:ind w:left="720" w:hanging="720"/>
        <w:rPr>
          <w:rFonts w:ascii="Times New Roman" w:hAnsi="Times New Roman" w:cs="Times New Roman"/>
        </w:rPr>
      </w:pPr>
    </w:p>
    <w:p w:rsidR="0012098B" w:rsidRPr="00C12097" w:rsidRDefault="0012098B" w:rsidP="00C12097">
      <w:pPr>
        <w:spacing w:line="480" w:lineRule="auto"/>
        <w:jc w:val="center"/>
        <w:rPr>
          <w:rFonts w:ascii="Times New Roman" w:hAnsi="Times New Roman" w:cs="Times New Roman"/>
          <w:b/>
        </w:rPr>
      </w:pPr>
      <w:r w:rsidRPr="00C12097">
        <w:rPr>
          <w:rFonts w:ascii="Times New Roman" w:hAnsi="Times New Roman" w:cs="Times New Roman"/>
          <w:b/>
        </w:rPr>
        <w:lastRenderedPageBreak/>
        <w:t>Reference 2</w:t>
      </w:r>
    </w:p>
    <w:p w:rsidR="00794633" w:rsidRPr="0009391B" w:rsidRDefault="00E1708B" w:rsidP="00C12097">
      <w:pPr>
        <w:spacing w:line="480" w:lineRule="auto"/>
        <w:ind w:left="720" w:hanging="720"/>
        <w:rPr>
          <w:rFonts w:ascii="Times New Roman" w:hAnsi="Times New Roman" w:cs="Times New Roman"/>
        </w:rPr>
      </w:pPr>
      <w:r w:rsidRPr="0009391B">
        <w:rPr>
          <w:rFonts w:ascii="Times New Roman" w:hAnsi="Times New Roman" w:cs="Times New Roman"/>
        </w:rPr>
        <w:t>Marchi, G., Busti, F., Zidanes, A. L., Vianello, A., &amp; Girelli, D. (2020). Cobalamin Deficiency in the Elderly. </w:t>
      </w:r>
      <w:r w:rsidRPr="0009391B">
        <w:rPr>
          <w:rFonts w:ascii="Times New Roman" w:hAnsi="Times New Roman" w:cs="Times New Roman"/>
          <w:i/>
          <w:iCs/>
        </w:rPr>
        <w:t>Mediterranean journal of hematology and infectious diseases</w:t>
      </w:r>
      <w:r w:rsidRPr="0009391B">
        <w:rPr>
          <w:rFonts w:ascii="Times New Roman" w:hAnsi="Times New Roman" w:cs="Times New Roman"/>
        </w:rPr>
        <w:t>, </w:t>
      </w:r>
      <w:r w:rsidRPr="0009391B">
        <w:rPr>
          <w:rFonts w:ascii="Times New Roman" w:hAnsi="Times New Roman" w:cs="Times New Roman"/>
          <w:i/>
          <w:iCs/>
        </w:rPr>
        <w:t>12</w:t>
      </w:r>
      <w:r w:rsidRPr="0009391B">
        <w:rPr>
          <w:rFonts w:ascii="Times New Roman" w:hAnsi="Times New Roman" w:cs="Times New Roman"/>
        </w:rPr>
        <w:t xml:space="preserve">(1), e2020043. </w:t>
      </w:r>
      <w:hyperlink r:id="rId12" w:history="1">
        <w:r w:rsidRPr="0009391B">
          <w:rPr>
            <w:rStyle w:val="Hyperlink"/>
            <w:rFonts w:ascii="Times New Roman" w:hAnsi="Times New Roman" w:cs="Times New Roman"/>
          </w:rPr>
          <w:t>https://doi.org/10.4084/MJHID.2020.043</w:t>
        </w:r>
      </w:hyperlink>
    </w:p>
    <w:p w:rsidR="00E1708B" w:rsidRPr="0009391B" w:rsidRDefault="00E1708B" w:rsidP="0009391B">
      <w:pPr>
        <w:spacing w:line="480" w:lineRule="auto"/>
        <w:rPr>
          <w:rFonts w:ascii="Times New Roman" w:hAnsi="Times New Roman" w:cs="Times New Roman"/>
        </w:rPr>
      </w:pPr>
    </w:p>
    <w:sectPr w:rsidR="00E1708B" w:rsidRPr="0009391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07" w:rsidRDefault="00D83207" w:rsidP="00C84E55">
      <w:r>
        <w:separator/>
      </w:r>
    </w:p>
  </w:endnote>
  <w:endnote w:type="continuationSeparator" w:id="0">
    <w:p w:rsidR="00D83207" w:rsidRDefault="00D83207" w:rsidP="00C8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07" w:rsidRDefault="00D83207" w:rsidP="00C84E55">
      <w:r>
        <w:separator/>
      </w:r>
    </w:p>
  </w:footnote>
  <w:footnote w:type="continuationSeparator" w:id="0">
    <w:p w:rsidR="00D83207" w:rsidRDefault="00D83207" w:rsidP="00C8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062166"/>
      <w:docPartObj>
        <w:docPartGallery w:val="Page Numbers (Top of Page)"/>
        <w:docPartUnique/>
      </w:docPartObj>
    </w:sdtPr>
    <w:sdtEndPr>
      <w:rPr>
        <w:noProof/>
      </w:rPr>
    </w:sdtEndPr>
    <w:sdtContent>
      <w:p w:rsidR="0012098B" w:rsidRDefault="0012098B">
        <w:pPr>
          <w:pStyle w:val="Header"/>
          <w:jc w:val="right"/>
        </w:pPr>
        <w:r>
          <w:fldChar w:fldCharType="begin"/>
        </w:r>
        <w:r>
          <w:instrText xml:space="preserve"> PAGE   \* MERGEFORMAT </w:instrText>
        </w:r>
        <w:r>
          <w:fldChar w:fldCharType="separate"/>
        </w:r>
        <w:r w:rsidR="00110A74">
          <w:rPr>
            <w:noProof/>
          </w:rPr>
          <w:t>3</w:t>
        </w:r>
        <w:r>
          <w:rPr>
            <w:noProof/>
          </w:rPr>
          <w:fldChar w:fldCharType="end"/>
        </w:r>
      </w:p>
    </w:sdtContent>
  </w:sdt>
  <w:p w:rsidR="0012098B" w:rsidRDefault="0012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542"/>
    <w:multiLevelType w:val="hybridMultilevel"/>
    <w:tmpl w:val="6902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78"/>
    <w:rsid w:val="00063C3D"/>
    <w:rsid w:val="0009391B"/>
    <w:rsid w:val="00110A74"/>
    <w:rsid w:val="0011719F"/>
    <w:rsid w:val="0012098B"/>
    <w:rsid w:val="0015297A"/>
    <w:rsid w:val="0017450D"/>
    <w:rsid w:val="002360F5"/>
    <w:rsid w:val="00277DEF"/>
    <w:rsid w:val="00284B36"/>
    <w:rsid w:val="002D7B93"/>
    <w:rsid w:val="00305E45"/>
    <w:rsid w:val="00335B57"/>
    <w:rsid w:val="003D3EBC"/>
    <w:rsid w:val="004600D4"/>
    <w:rsid w:val="00511B95"/>
    <w:rsid w:val="00553F6C"/>
    <w:rsid w:val="005A054B"/>
    <w:rsid w:val="005B552B"/>
    <w:rsid w:val="005E4445"/>
    <w:rsid w:val="006310AB"/>
    <w:rsid w:val="00633DDD"/>
    <w:rsid w:val="00636323"/>
    <w:rsid w:val="0064437B"/>
    <w:rsid w:val="00644451"/>
    <w:rsid w:val="006C1544"/>
    <w:rsid w:val="006C6918"/>
    <w:rsid w:val="00726856"/>
    <w:rsid w:val="0075466F"/>
    <w:rsid w:val="007715B7"/>
    <w:rsid w:val="00794633"/>
    <w:rsid w:val="00815664"/>
    <w:rsid w:val="008D299E"/>
    <w:rsid w:val="00951412"/>
    <w:rsid w:val="00985677"/>
    <w:rsid w:val="00AA4D3C"/>
    <w:rsid w:val="00B82226"/>
    <w:rsid w:val="00BB2E78"/>
    <w:rsid w:val="00BB6B4E"/>
    <w:rsid w:val="00C12097"/>
    <w:rsid w:val="00C63969"/>
    <w:rsid w:val="00C8296E"/>
    <w:rsid w:val="00C84E55"/>
    <w:rsid w:val="00D83207"/>
    <w:rsid w:val="00DB33D4"/>
    <w:rsid w:val="00E1708B"/>
    <w:rsid w:val="00E62807"/>
    <w:rsid w:val="00E87A4C"/>
    <w:rsid w:val="00EA4948"/>
    <w:rsid w:val="00ED356F"/>
    <w:rsid w:val="00F207F9"/>
    <w:rsid w:val="00F73666"/>
    <w:rsid w:val="00F7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0C7DC-F007-4108-8117-E28D46B9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7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55"/>
    <w:pPr>
      <w:tabs>
        <w:tab w:val="center" w:pos="4680"/>
        <w:tab w:val="right" w:pos="9360"/>
      </w:tabs>
    </w:pPr>
  </w:style>
  <w:style w:type="character" w:customStyle="1" w:styleId="HeaderChar">
    <w:name w:val="Header Char"/>
    <w:basedOn w:val="DefaultParagraphFont"/>
    <w:link w:val="Header"/>
    <w:uiPriority w:val="99"/>
    <w:rsid w:val="00C84E55"/>
    <w:rPr>
      <w:sz w:val="24"/>
      <w:szCs w:val="24"/>
    </w:rPr>
  </w:style>
  <w:style w:type="paragraph" w:styleId="Footer">
    <w:name w:val="footer"/>
    <w:basedOn w:val="Normal"/>
    <w:link w:val="FooterChar"/>
    <w:uiPriority w:val="99"/>
    <w:unhideWhenUsed/>
    <w:rsid w:val="00C84E55"/>
    <w:pPr>
      <w:tabs>
        <w:tab w:val="center" w:pos="4680"/>
        <w:tab w:val="right" w:pos="9360"/>
      </w:tabs>
    </w:pPr>
  </w:style>
  <w:style w:type="character" w:customStyle="1" w:styleId="FooterChar">
    <w:name w:val="Footer Char"/>
    <w:basedOn w:val="DefaultParagraphFont"/>
    <w:link w:val="Footer"/>
    <w:uiPriority w:val="99"/>
    <w:rsid w:val="00C84E55"/>
    <w:rPr>
      <w:sz w:val="24"/>
      <w:szCs w:val="24"/>
    </w:rPr>
  </w:style>
  <w:style w:type="character" w:styleId="Hyperlink">
    <w:name w:val="Hyperlink"/>
    <w:basedOn w:val="DefaultParagraphFont"/>
    <w:uiPriority w:val="99"/>
    <w:unhideWhenUsed/>
    <w:rsid w:val="00794633"/>
    <w:rPr>
      <w:color w:val="0563C1" w:themeColor="hyperlink"/>
      <w:u w:val="single"/>
    </w:rPr>
  </w:style>
  <w:style w:type="paragraph" w:styleId="ListParagraph">
    <w:name w:val="List Paragraph"/>
    <w:basedOn w:val="Normal"/>
    <w:uiPriority w:val="34"/>
    <w:qFormat/>
    <w:rsid w:val="0012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0222">
      <w:bodyDiv w:val="1"/>
      <w:marLeft w:val="0"/>
      <w:marRight w:val="0"/>
      <w:marTop w:val="0"/>
      <w:marBottom w:val="0"/>
      <w:divBdr>
        <w:top w:val="none" w:sz="0" w:space="0" w:color="auto"/>
        <w:left w:val="none" w:sz="0" w:space="0" w:color="auto"/>
        <w:bottom w:val="none" w:sz="0" w:space="0" w:color="auto"/>
        <w:right w:val="none" w:sz="0" w:space="0" w:color="auto"/>
      </w:divBdr>
      <w:divsChild>
        <w:div w:id="179971699">
          <w:marLeft w:val="0"/>
          <w:marRight w:val="0"/>
          <w:marTop w:val="0"/>
          <w:marBottom w:val="0"/>
          <w:divBdr>
            <w:top w:val="single" w:sz="6" w:space="8" w:color="CCCCCC"/>
            <w:left w:val="single" w:sz="6" w:space="4" w:color="CCCCCC"/>
            <w:bottom w:val="single" w:sz="6" w:space="0" w:color="CCCCCC"/>
            <w:right w:val="single" w:sz="6" w:space="4" w:color="CCCCCC"/>
          </w:divBdr>
          <w:divsChild>
            <w:div w:id="1342857893">
              <w:marLeft w:val="-150"/>
              <w:marRight w:val="-150"/>
              <w:marTop w:val="0"/>
              <w:marBottom w:val="0"/>
              <w:divBdr>
                <w:top w:val="none" w:sz="0" w:space="0" w:color="auto"/>
                <w:left w:val="none" w:sz="0" w:space="0" w:color="auto"/>
                <w:bottom w:val="none" w:sz="0" w:space="0" w:color="auto"/>
                <w:right w:val="none" w:sz="0" w:space="0" w:color="auto"/>
              </w:divBdr>
              <w:divsChild>
                <w:div w:id="156768776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785467656">
      <w:bodyDiv w:val="1"/>
      <w:marLeft w:val="0"/>
      <w:marRight w:val="0"/>
      <w:marTop w:val="0"/>
      <w:marBottom w:val="0"/>
      <w:divBdr>
        <w:top w:val="none" w:sz="0" w:space="0" w:color="auto"/>
        <w:left w:val="none" w:sz="0" w:space="0" w:color="auto"/>
        <w:bottom w:val="none" w:sz="0" w:space="0" w:color="auto"/>
        <w:right w:val="none" w:sz="0" w:space="0" w:color="auto"/>
      </w:divBdr>
      <w:divsChild>
        <w:div w:id="17502326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32462357">
      <w:bodyDiv w:val="1"/>
      <w:marLeft w:val="0"/>
      <w:marRight w:val="0"/>
      <w:marTop w:val="0"/>
      <w:marBottom w:val="0"/>
      <w:divBdr>
        <w:top w:val="none" w:sz="0" w:space="0" w:color="auto"/>
        <w:left w:val="none" w:sz="0" w:space="0" w:color="auto"/>
        <w:bottom w:val="none" w:sz="0" w:space="0" w:color="auto"/>
        <w:right w:val="none" w:sz="0" w:space="0" w:color="auto"/>
      </w:divBdr>
      <w:divsChild>
        <w:div w:id="343557955">
          <w:marLeft w:val="0"/>
          <w:marRight w:val="0"/>
          <w:marTop w:val="0"/>
          <w:marBottom w:val="0"/>
          <w:divBdr>
            <w:top w:val="single" w:sz="6" w:space="8" w:color="CCCCCC"/>
            <w:left w:val="single" w:sz="6" w:space="4" w:color="CCCCCC"/>
            <w:bottom w:val="single" w:sz="6" w:space="0" w:color="CCCCCC"/>
            <w:right w:val="single" w:sz="6" w:space="4" w:color="CCCCCC"/>
          </w:divBdr>
          <w:divsChild>
            <w:div w:id="1388991087">
              <w:marLeft w:val="-150"/>
              <w:marRight w:val="-150"/>
              <w:marTop w:val="0"/>
              <w:marBottom w:val="0"/>
              <w:divBdr>
                <w:top w:val="none" w:sz="0" w:space="0" w:color="auto"/>
                <w:left w:val="none" w:sz="0" w:space="0" w:color="auto"/>
                <w:bottom w:val="none" w:sz="0" w:space="0" w:color="auto"/>
                <w:right w:val="none" w:sz="0" w:space="0" w:color="auto"/>
              </w:divBdr>
              <w:divsChild>
                <w:div w:id="24723087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51260882">
      <w:bodyDiv w:val="1"/>
      <w:marLeft w:val="0"/>
      <w:marRight w:val="0"/>
      <w:marTop w:val="0"/>
      <w:marBottom w:val="0"/>
      <w:divBdr>
        <w:top w:val="none" w:sz="0" w:space="0" w:color="auto"/>
        <w:left w:val="none" w:sz="0" w:space="0" w:color="auto"/>
        <w:bottom w:val="none" w:sz="0" w:space="0" w:color="auto"/>
        <w:right w:val="none" w:sz="0" w:space="0" w:color="auto"/>
      </w:divBdr>
      <w:divsChild>
        <w:div w:id="2127770901">
          <w:marLeft w:val="0"/>
          <w:marRight w:val="0"/>
          <w:marTop w:val="0"/>
          <w:marBottom w:val="0"/>
          <w:divBdr>
            <w:top w:val="single" w:sz="6" w:space="8" w:color="CCCCCC"/>
            <w:left w:val="single" w:sz="6" w:space="4" w:color="CCCCCC"/>
            <w:bottom w:val="single" w:sz="6" w:space="0" w:color="CCCCCC"/>
            <w:right w:val="single" w:sz="6" w:space="4" w:color="CCCCCC"/>
          </w:divBdr>
          <w:divsChild>
            <w:div w:id="114065267">
              <w:marLeft w:val="-150"/>
              <w:marRight w:val="-150"/>
              <w:marTop w:val="0"/>
              <w:marBottom w:val="0"/>
              <w:divBdr>
                <w:top w:val="none" w:sz="0" w:space="0" w:color="auto"/>
                <w:left w:val="none" w:sz="0" w:space="0" w:color="auto"/>
                <w:bottom w:val="none" w:sz="0" w:space="0" w:color="auto"/>
                <w:right w:val="none" w:sz="0" w:space="0" w:color="auto"/>
              </w:divBdr>
              <w:divsChild>
                <w:div w:id="115221818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health.com/pernicious-anemia-508545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4084/MJHID.2020.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140816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books/NBK540989/" TargetMode="External"/><Relationship Id="rId4" Type="http://schemas.openxmlformats.org/officeDocument/2006/relationships/webSettings" Target="webSettings.xml"/><Relationship Id="rId9" Type="http://schemas.openxmlformats.org/officeDocument/2006/relationships/hyperlink" Target="https://doi.org/10.1111/jebm.124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2022-09-21T17:29:00Z</dcterms:created>
  <dcterms:modified xsi:type="dcterms:W3CDTF">2022-09-21T17:29:00Z</dcterms:modified>
</cp:coreProperties>
</file>