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5C92" w14:textId="701BE20E" w:rsidR="002A3545" w:rsidRPr="00BA17DC" w:rsidRDefault="007D3DE8" w:rsidP="00BA17DC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  <w:lang w:val="en-US"/>
        </w:rPr>
      </w:pPr>
      <w:r w:rsidRPr="00BA17DC">
        <w:rPr>
          <w:rFonts w:ascii="Times New Roman" w:hAnsi="Times New Roman" w:cs="Times New Roman"/>
          <w:sz w:val="24"/>
          <w:szCs w:val="24"/>
          <w:lang w:val="en-US"/>
        </w:rPr>
        <w:t>Hello Harpreet,</w:t>
      </w:r>
    </w:p>
    <w:p w14:paraId="78BC2FB0" w14:textId="20A7474E" w:rsidR="007D3DE8" w:rsidRPr="00BA17DC" w:rsidRDefault="003C623F" w:rsidP="00BA17DC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  <w:lang w:val="en-US"/>
        </w:rPr>
      </w:pPr>
      <w:r w:rsidRPr="00BA17DC">
        <w:rPr>
          <w:rFonts w:ascii="Times New Roman" w:hAnsi="Times New Roman" w:cs="Times New Roman"/>
          <w:sz w:val="24"/>
          <w:szCs w:val="24"/>
          <w:lang w:val="en-US"/>
        </w:rPr>
        <w:t>The discussion this week is excellent</w:t>
      </w:r>
      <w:r w:rsidR="007D3DE8" w:rsidRPr="00BA17DC">
        <w:rPr>
          <w:rFonts w:ascii="Times New Roman" w:hAnsi="Times New Roman" w:cs="Times New Roman"/>
          <w:sz w:val="24"/>
          <w:szCs w:val="24"/>
          <w:lang w:val="en-US"/>
        </w:rPr>
        <w:t>. The ideas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>n Carl Rodger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s'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>s Therapeutic Approach were</w:t>
      </w:r>
      <w:r w:rsidR="007D3DE8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so enriching and 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>educative. I agree with you that the approach plays a fundamental role in assisting the clients in changing, growing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and drawing out potential. It is commendable that you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explained well that the therapeutic approach builds more confidence in individuals,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gives more understanding o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oneself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19BA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A444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allows one</w:t>
      </w:r>
      <w:r w:rsidR="00BA444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to realize their abilities.</w:t>
      </w:r>
      <w:r w:rsidR="004F0C87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When therapist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F0C87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serve clients in a nonjudgmental manner,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the clients will indeed</w:t>
      </w:r>
      <w:r w:rsidR="004F0C87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be able to recognize their emotions and be able to change those that have a negative influence on their lives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(Boardman &amp; Dave, 2020)</w:t>
      </w:r>
      <w:r w:rsidR="004F0C87" w:rsidRPr="00BA17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40BCF" w14:textId="07C9FDE7" w:rsidR="004F0C87" w:rsidRPr="00BA17DC" w:rsidRDefault="007269D9" w:rsidP="00BA17DC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  <w:lang w:val="en-US"/>
        </w:rPr>
      </w:pP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The point on the belief that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learning a way to understand their emotions will help build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confidence is clearly spel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out because it empowers one to perform certain activities according to their realized abilities. I agree that it is cumbersome to assist individuals who do not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clearly understand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themselves.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Therapists must empathize with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proofErr w:type="gramStart"/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clients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Bru-Luna et al., 2021)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I w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to add that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appropriate counseling 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will help such kinds of persons who do not realize their importance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Remarkably,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you shared your experience on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encounter with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>therapist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and for sure, the experience gives more knowledge that the application of directive and nondirective therapies differs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in how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it benefits </w:t>
      </w:r>
      <w:r w:rsidR="005244B5" w:rsidRPr="00BA17DC">
        <w:rPr>
          <w:rFonts w:ascii="Times New Roman" w:hAnsi="Times New Roman" w:cs="Times New Roman"/>
          <w:sz w:val="24"/>
          <w:szCs w:val="24"/>
          <w:lang w:val="en-US"/>
        </w:rPr>
        <w:t>differen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B1A26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cultural communities.</w:t>
      </w:r>
    </w:p>
    <w:p w14:paraId="28457F2C" w14:textId="7CF5FDC2" w:rsidR="00EB1A26" w:rsidRPr="00BA17DC" w:rsidRDefault="00EB1A26" w:rsidP="00BA17DC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  <w:lang w:val="en-US"/>
        </w:rPr>
      </w:pPr>
      <w:r w:rsidRPr="00BA17DC">
        <w:rPr>
          <w:rFonts w:ascii="Times New Roman" w:hAnsi="Times New Roman" w:cs="Times New Roman"/>
          <w:sz w:val="24"/>
          <w:szCs w:val="24"/>
          <w:lang w:val="en-US"/>
        </w:rPr>
        <w:t>Hello,</w:t>
      </w:r>
    </w:p>
    <w:p w14:paraId="16CE0AD4" w14:textId="33122870" w:rsidR="005244B5" w:rsidRPr="00BA17DC" w:rsidRDefault="00DF73E2" w:rsidP="00BA17DC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  <w:lang w:val="en-US"/>
        </w:rPr>
      </w:pP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Your post this week was excellent, and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would like to inform you that it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wa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s a pleasure reading it. The content is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impressive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full of enriching ideas. I support the idea that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therapeutic approach instills more confidence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n various individuals.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Empathy to the clients will give more knowledge of the client's emotions,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facilitating the appropriate interventions to manage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(Boardman &amp; Dave, 2020)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. It is commendable that the therapist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maintains confidence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n the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client's information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to ensure</w:t>
      </w:r>
      <w:r w:rsidR="005244B5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that the client can verbalize more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5244B5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the emotions affecting them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(Kar &amp; Singh, 2020)</w:t>
      </w:r>
      <w:r w:rsidR="00A71ACE" w:rsidRPr="00BA17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15062C" w14:textId="5AA6188B" w:rsidR="00DF73E2" w:rsidRPr="00BA17DC" w:rsidRDefault="00613B66" w:rsidP="00BA17DC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  <w:lang w:val="en-US"/>
        </w:rPr>
      </w:pPr>
      <w:r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I second your opinion that person-centered therapy is effective among people with 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BA17DC">
        <w:rPr>
          <w:rFonts w:ascii="Times New Roman" w:hAnsi="Times New Roman" w:cs="Times New Roman"/>
          <w:sz w:val="24"/>
          <w:szCs w:val="24"/>
          <w:lang w:val="en-US"/>
        </w:rPr>
        <w:t>anxiety disorder because it will enable the client to understand themselves well.</w:t>
      </w:r>
      <w:r w:rsidR="00C417DD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I would also like to add that individuals with psychological disturbances due to depression or substance abuse require</w:t>
      </w:r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the person </w:t>
      </w:r>
      <w:proofErr w:type="spellStart"/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>centerd</w:t>
      </w:r>
      <w:proofErr w:type="spellEnd"/>
      <w:r w:rsidR="003C623F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therapy to help alleviate</w:t>
      </w:r>
      <w:r w:rsidR="00C417DD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distressing emotions.</w:t>
      </w:r>
      <w:r w:rsidR="00DF73E2" w:rsidRPr="00BA1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08C41C" w14:textId="77777777" w:rsidR="004F0C87" w:rsidRPr="007D3DE8" w:rsidRDefault="004F0C87" w:rsidP="007D3DE8">
      <w:pPr>
        <w:tabs>
          <w:tab w:val="left" w:pos="106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17281A" w14:textId="77777777" w:rsidR="002A3545" w:rsidRDefault="002A3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900538" w14:textId="77777777" w:rsidR="00892641" w:rsidRDefault="00892641" w:rsidP="00892641">
      <w:pPr>
        <w:pStyle w:val="NormalWeb"/>
        <w:spacing w:before="0" w:beforeAutospacing="0" w:after="0" w:afterAutospacing="0" w:line="480" w:lineRule="auto"/>
        <w:jc w:val="center"/>
      </w:pPr>
      <w:r>
        <w:lastRenderedPageBreak/>
        <w:t>References</w:t>
      </w:r>
    </w:p>
    <w:p w14:paraId="3024F81B" w14:textId="56C8A1EA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Bandelow</w:t>
      </w:r>
      <w:proofErr w:type="spellEnd"/>
      <w:r>
        <w:t xml:space="preserve">, B., Michaelis, S., &amp; </w:t>
      </w:r>
      <w:proofErr w:type="spellStart"/>
      <w:r>
        <w:t>Wedekind</w:t>
      </w:r>
      <w:proofErr w:type="spellEnd"/>
      <w:r>
        <w:t xml:space="preserve">, D. (2017). Treatment of anxiety disorders. </w:t>
      </w:r>
      <w:r>
        <w:rPr>
          <w:i/>
          <w:iCs/>
        </w:rPr>
        <w:t>Dialogues in Clinical Neuroscience</w:t>
      </w:r>
      <w:r>
        <w:t xml:space="preserve">, </w:t>
      </w:r>
      <w:r>
        <w:rPr>
          <w:i/>
          <w:iCs/>
        </w:rPr>
        <w:t>19</w:t>
      </w:r>
      <w:r>
        <w:t xml:space="preserve">(2), 93–107. </w:t>
      </w:r>
      <w:hyperlink r:id="rId6" w:history="1">
        <w:r w:rsidRPr="000B5EA7">
          <w:rPr>
            <w:rStyle w:val="Hyperlink"/>
          </w:rPr>
          <w:t>https://www.ncbi.nlm.nih.gov/pmc/articles/PMC5573566/</w:t>
        </w:r>
      </w:hyperlink>
      <w:r>
        <w:rPr>
          <w:lang w:val="en-US"/>
        </w:rPr>
        <w:t xml:space="preserve"> </w:t>
      </w:r>
    </w:p>
    <w:p w14:paraId="154EF795" w14:textId="63161F19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Boardman, J., &amp; Dave, S. (2020). Person-centred care and psychiatry: some key perspectives. </w:t>
      </w:r>
      <w:proofErr w:type="spellStart"/>
      <w:r>
        <w:rPr>
          <w:i/>
          <w:iCs/>
        </w:rPr>
        <w:t>BJPsych</w:t>
      </w:r>
      <w:proofErr w:type="spellEnd"/>
      <w:r>
        <w:rPr>
          <w:i/>
          <w:iCs/>
        </w:rPr>
        <w:t xml:space="preserve"> International</w:t>
      </w:r>
      <w:r>
        <w:t xml:space="preserve">, </w:t>
      </w:r>
      <w:r>
        <w:rPr>
          <w:i/>
          <w:iCs/>
        </w:rPr>
        <w:t>17</w:t>
      </w:r>
      <w:r>
        <w:t xml:space="preserve">(3), 1–4. </w:t>
      </w:r>
      <w:hyperlink r:id="rId7" w:history="1">
        <w:r w:rsidRPr="000B5EA7">
          <w:rPr>
            <w:rStyle w:val="Hyperlink"/>
          </w:rPr>
          <w:t>https://doi.org/10.1192/bji.2020.21</w:t>
        </w:r>
      </w:hyperlink>
      <w:r>
        <w:rPr>
          <w:lang w:val="en-US"/>
        </w:rPr>
        <w:t xml:space="preserve"> </w:t>
      </w:r>
    </w:p>
    <w:p w14:paraId="117CD0F5" w14:textId="7E4CA26B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>Bru-Luna, L. M., Martí-</w:t>
      </w:r>
      <w:proofErr w:type="spellStart"/>
      <w:r>
        <w:t>Vilar</w:t>
      </w:r>
      <w:proofErr w:type="spellEnd"/>
      <w:r>
        <w:t>, M., Merino-Soto, C., &amp; Livia, J. (2021). Reliability Generalization Study of the Person-</w:t>
      </w:r>
      <w:proofErr w:type="spellStart"/>
      <w:r>
        <w:t>Centered</w:t>
      </w:r>
      <w:proofErr w:type="spellEnd"/>
      <w:r>
        <w:t xml:space="preserve"> Care Assessment Tool. </w:t>
      </w:r>
      <w:r>
        <w:rPr>
          <w:i/>
          <w:iCs/>
        </w:rPr>
        <w:t>Frontiers in Psychology</w:t>
      </w:r>
      <w:r>
        <w:t xml:space="preserve">, </w:t>
      </w:r>
      <w:r>
        <w:rPr>
          <w:i/>
          <w:iCs/>
        </w:rPr>
        <w:t>12</w:t>
      </w:r>
      <w:r>
        <w:t xml:space="preserve">. </w:t>
      </w:r>
      <w:hyperlink r:id="rId8" w:history="1">
        <w:r w:rsidRPr="000B5EA7">
          <w:rPr>
            <w:rStyle w:val="Hyperlink"/>
          </w:rPr>
          <w:t>https://doi.org/10.3389/fpsyg.2021.712582</w:t>
        </w:r>
      </w:hyperlink>
      <w:r>
        <w:rPr>
          <w:lang w:val="en-US"/>
        </w:rPr>
        <w:t xml:space="preserve"> </w:t>
      </w:r>
    </w:p>
    <w:p w14:paraId="7C68FD36" w14:textId="0B939E26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>Kar, S. K., &amp; Singh, N. (2020). Person-</w:t>
      </w:r>
      <w:proofErr w:type="spellStart"/>
      <w:r>
        <w:t>Centered</w:t>
      </w:r>
      <w:proofErr w:type="spellEnd"/>
      <w:r>
        <w:t xml:space="preserve"> Approach to the Diverse Mental Healthcare Needs During COVID 19 Pandemic. </w:t>
      </w:r>
      <w:r>
        <w:rPr>
          <w:i/>
          <w:iCs/>
        </w:rPr>
        <w:t>SN Comprehensive Clinical Medicine</w:t>
      </w:r>
      <w:r>
        <w:t xml:space="preserve">, </w:t>
      </w:r>
      <w:r>
        <w:rPr>
          <w:i/>
          <w:iCs/>
        </w:rPr>
        <w:t>2</w:t>
      </w:r>
      <w:r>
        <w:t xml:space="preserve">(9), 1358–1360. </w:t>
      </w:r>
      <w:hyperlink r:id="rId9" w:history="1">
        <w:r w:rsidRPr="000B5EA7">
          <w:rPr>
            <w:rStyle w:val="Hyperlink"/>
          </w:rPr>
          <w:t>https://doi.org/10.1007/s42399-020-00428-4</w:t>
        </w:r>
      </w:hyperlink>
      <w:r>
        <w:rPr>
          <w:lang w:val="en-US"/>
        </w:rPr>
        <w:t xml:space="preserve"> </w:t>
      </w:r>
    </w:p>
    <w:p w14:paraId="62C6FDA2" w14:textId="5E5A1525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Mangolini</w:t>
      </w:r>
      <w:proofErr w:type="spellEnd"/>
      <w:r>
        <w:t xml:space="preserve">, V. I., Andrade, L. H., </w:t>
      </w:r>
      <w:proofErr w:type="spellStart"/>
      <w:r>
        <w:t>Lotufo</w:t>
      </w:r>
      <w:proofErr w:type="spellEnd"/>
      <w:r>
        <w:t xml:space="preserve">-Neto, F., &amp; Wang, Y.-P. (2019). Treatment of anxiety disorders in clinical practice: a critical overview of recent systematic evidence. </w:t>
      </w:r>
      <w:r>
        <w:rPr>
          <w:i/>
          <w:iCs/>
        </w:rPr>
        <w:t>Clinics</w:t>
      </w:r>
      <w:r>
        <w:t xml:space="preserve">, </w:t>
      </w:r>
      <w:r>
        <w:rPr>
          <w:i/>
          <w:iCs/>
        </w:rPr>
        <w:t>74</w:t>
      </w:r>
      <w:r>
        <w:t xml:space="preserve">. </w:t>
      </w:r>
      <w:hyperlink r:id="rId10" w:history="1">
        <w:r w:rsidRPr="000B5EA7">
          <w:rPr>
            <w:rStyle w:val="Hyperlink"/>
          </w:rPr>
          <w:t>https://doi.org/10.6061/clinics/2019/e1316</w:t>
        </w:r>
      </w:hyperlink>
      <w:r>
        <w:rPr>
          <w:lang w:val="en-US"/>
        </w:rPr>
        <w:t xml:space="preserve"> </w:t>
      </w:r>
    </w:p>
    <w:p w14:paraId="06FD1F93" w14:textId="545172E3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Pepe, M., </w:t>
      </w:r>
      <w:proofErr w:type="spellStart"/>
      <w:r>
        <w:t>Maroun</w:t>
      </w:r>
      <w:proofErr w:type="spellEnd"/>
      <w:r>
        <w:t>-Eid, C., Romero, R., Arroyo-</w:t>
      </w:r>
      <w:proofErr w:type="spellStart"/>
      <w:r>
        <w:t>Espliguero</w:t>
      </w:r>
      <w:proofErr w:type="spellEnd"/>
      <w:r>
        <w:t xml:space="preserve">, R., </w:t>
      </w:r>
      <w:proofErr w:type="spellStart"/>
      <w:r>
        <w:t>Fernàndez-Rozas</w:t>
      </w:r>
      <w:proofErr w:type="spellEnd"/>
      <w:r>
        <w:t xml:space="preserve">, I., </w:t>
      </w:r>
      <w:proofErr w:type="spellStart"/>
      <w:r>
        <w:t>Aparisi</w:t>
      </w:r>
      <w:proofErr w:type="spellEnd"/>
      <w:r>
        <w:t xml:space="preserve">, A., Becerra-Muñoz, V. M., </w:t>
      </w:r>
      <w:proofErr w:type="spellStart"/>
      <w:r>
        <w:t>Garcìa</w:t>
      </w:r>
      <w:proofErr w:type="spellEnd"/>
      <w:r>
        <w:t xml:space="preserve"> </w:t>
      </w:r>
      <w:proofErr w:type="spellStart"/>
      <w:r>
        <w:t>Aguado</w:t>
      </w:r>
      <w:proofErr w:type="spellEnd"/>
      <w:r>
        <w:t xml:space="preserve">, M., </w:t>
      </w:r>
      <w:proofErr w:type="spellStart"/>
      <w:r>
        <w:t>Brindicci</w:t>
      </w:r>
      <w:proofErr w:type="spellEnd"/>
      <w:r>
        <w:t xml:space="preserve">, G., Huang, J., Alfonso-Rodríguez, E., Castro-Mejía, A. F., </w:t>
      </w:r>
      <w:proofErr w:type="spellStart"/>
      <w:r>
        <w:t>Favretto</w:t>
      </w:r>
      <w:proofErr w:type="spellEnd"/>
      <w:r>
        <w:t xml:space="preserve">, S., Cerrato, E., </w:t>
      </w:r>
      <w:proofErr w:type="spellStart"/>
      <w:r>
        <w:t>Albiol</w:t>
      </w:r>
      <w:proofErr w:type="spellEnd"/>
      <w:r>
        <w:t xml:space="preserve">, P., </w:t>
      </w:r>
      <w:proofErr w:type="spellStart"/>
      <w:r>
        <w:t>Raposeiras-Roubin</w:t>
      </w:r>
      <w:proofErr w:type="spellEnd"/>
      <w:r>
        <w:t xml:space="preserve">, S., </w:t>
      </w:r>
      <w:proofErr w:type="spellStart"/>
      <w:r>
        <w:t>Vedia</w:t>
      </w:r>
      <w:proofErr w:type="spellEnd"/>
      <w:r>
        <w:t xml:space="preserve">, O., </w:t>
      </w:r>
      <w:proofErr w:type="spellStart"/>
      <w:r>
        <w:t>Feltes</w:t>
      </w:r>
      <w:proofErr w:type="spellEnd"/>
      <w:r>
        <w:t xml:space="preserve"> </w:t>
      </w:r>
      <w:proofErr w:type="spellStart"/>
      <w:r>
        <w:t>Guzmãn</w:t>
      </w:r>
      <w:proofErr w:type="spellEnd"/>
      <w:r>
        <w:t xml:space="preserve">, G., </w:t>
      </w:r>
      <w:proofErr w:type="spellStart"/>
      <w:r>
        <w:t>Carrero</w:t>
      </w:r>
      <w:proofErr w:type="spellEnd"/>
      <w:r>
        <w:t xml:space="preserve">-Fernández, A., &amp; Perez </w:t>
      </w:r>
      <w:proofErr w:type="spellStart"/>
      <w:r>
        <w:t>Cimarra</w:t>
      </w:r>
      <w:proofErr w:type="spellEnd"/>
      <w:r>
        <w:t xml:space="preserve">, C. (2021). Clinical presentation, therapeutic approach, and outcome of young patients admitted for COVID-19, with respect to the elderly counterpart. </w:t>
      </w:r>
      <w:r>
        <w:rPr>
          <w:i/>
          <w:iCs/>
        </w:rPr>
        <w:t>Clinical and Experimental Medicine</w:t>
      </w:r>
      <w:r>
        <w:t xml:space="preserve">, </w:t>
      </w:r>
      <w:r>
        <w:rPr>
          <w:i/>
          <w:iCs/>
        </w:rPr>
        <w:t>21</w:t>
      </w:r>
      <w:r>
        <w:t xml:space="preserve">(2), 249–268. </w:t>
      </w:r>
      <w:hyperlink r:id="rId11" w:history="1">
        <w:r w:rsidRPr="000B5EA7">
          <w:rPr>
            <w:rStyle w:val="Hyperlink"/>
          </w:rPr>
          <w:t>https://doi.org/10.1007/s10238-021-00684-1</w:t>
        </w:r>
      </w:hyperlink>
      <w:r>
        <w:rPr>
          <w:lang w:val="en-US"/>
        </w:rPr>
        <w:t xml:space="preserve"> </w:t>
      </w:r>
    </w:p>
    <w:p w14:paraId="37B0F736" w14:textId="26270B88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Sharma, N., &amp; Gupta, V. (2022, February 10). </w:t>
      </w:r>
      <w:r>
        <w:rPr>
          <w:i/>
          <w:iCs/>
        </w:rPr>
        <w:t>Therapeutic Communication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</w:t>
      </w:r>
      <w:hyperlink r:id="rId12" w:history="1">
        <w:r w:rsidRPr="000B5EA7">
          <w:rPr>
            <w:rStyle w:val="Hyperlink"/>
          </w:rPr>
          <w:t>https://www.ncbi.nlm.nih.gov/books/NBK567775/</w:t>
        </w:r>
      </w:hyperlink>
      <w:r>
        <w:rPr>
          <w:lang w:val="en-US"/>
        </w:rPr>
        <w:t xml:space="preserve"> </w:t>
      </w:r>
    </w:p>
    <w:p w14:paraId="1B089DEC" w14:textId="0D0AD37E" w:rsidR="00892641" w:rsidRPr="00892641" w:rsidRDefault="00892641" w:rsidP="00892641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lastRenderedPageBreak/>
        <w:t xml:space="preserve">Tomaselli, G., Buttigieg, S. C., </w:t>
      </w:r>
      <w:proofErr w:type="spellStart"/>
      <w:r>
        <w:t>Rosano</w:t>
      </w:r>
      <w:proofErr w:type="spellEnd"/>
      <w:r>
        <w:t xml:space="preserve">, A., </w:t>
      </w:r>
      <w:proofErr w:type="spellStart"/>
      <w:r>
        <w:t>Cassar</w:t>
      </w:r>
      <w:proofErr w:type="spellEnd"/>
      <w:r>
        <w:t xml:space="preserve">, M., &amp; </w:t>
      </w:r>
      <w:proofErr w:type="spellStart"/>
      <w:r>
        <w:t>Grima</w:t>
      </w:r>
      <w:proofErr w:type="spellEnd"/>
      <w:r>
        <w:t>, G. (2020). Person-</w:t>
      </w:r>
      <w:proofErr w:type="spellStart"/>
      <w:r>
        <w:t>Centered</w:t>
      </w:r>
      <w:proofErr w:type="spellEnd"/>
      <w:r>
        <w:t xml:space="preserve"> Care </w:t>
      </w:r>
      <w:proofErr w:type="gramStart"/>
      <w:r>
        <w:t>From</w:t>
      </w:r>
      <w:proofErr w:type="gramEnd"/>
      <w:r>
        <w:t xml:space="preserve"> a Relational Ethics Perspective for the Delivery of High Quality and Safe Healthcare: A Scoping Review. </w:t>
      </w:r>
      <w:r>
        <w:rPr>
          <w:i/>
          <w:iCs/>
        </w:rPr>
        <w:t>Frontiers in Public Health</w:t>
      </w:r>
      <w:r>
        <w:t xml:space="preserve">, </w:t>
      </w:r>
      <w:r>
        <w:rPr>
          <w:i/>
          <w:iCs/>
        </w:rPr>
        <w:t>8</w:t>
      </w:r>
      <w:r>
        <w:t xml:space="preserve">(44). </w:t>
      </w:r>
      <w:hyperlink r:id="rId13" w:history="1">
        <w:r w:rsidRPr="000B5EA7">
          <w:rPr>
            <w:rStyle w:val="Hyperlink"/>
          </w:rPr>
          <w:t>https://doi.org/10.3389/fpubh.2020.00044</w:t>
        </w:r>
      </w:hyperlink>
      <w:r>
        <w:rPr>
          <w:lang w:val="en-US"/>
        </w:rPr>
        <w:t xml:space="preserve"> </w:t>
      </w:r>
    </w:p>
    <w:p w14:paraId="4A218B3E" w14:textId="77777777" w:rsidR="002A3545" w:rsidRPr="002A3545" w:rsidRDefault="002A3545" w:rsidP="002A3545">
      <w:pPr>
        <w:tabs>
          <w:tab w:val="left" w:pos="1065"/>
        </w:tabs>
        <w:spacing w:line="480" w:lineRule="auto"/>
        <w:ind w:firstLine="1066"/>
        <w:rPr>
          <w:rFonts w:ascii="Times New Roman" w:hAnsi="Times New Roman" w:cs="Times New Roman"/>
          <w:sz w:val="24"/>
          <w:szCs w:val="24"/>
        </w:rPr>
      </w:pPr>
    </w:p>
    <w:sectPr w:rsidR="002A3545" w:rsidRPr="002A3545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6603" w14:textId="77777777" w:rsidR="00D96866" w:rsidRDefault="00D96866" w:rsidP="002A3545">
      <w:pPr>
        <w:spacing w:after="0" w:line="240" w:lineRule="auto"/>
      </w:pPr>
      <w:r>
        <w:separator/>
      </w:r>
    </w:p>
  </w:endnote>
  <w:endnote w:type="continuationSeparator" w:id="0">
    <w:p w14:paraId="767FBD30" w14:textId="77777777" w:rsidR="00D96866" w:rsidRDefault="00D96866" w:rsidP="002A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D26C" w14:textId="77777777" w:rsidR="00D96866" w:rsidRDefault="00D96866" w:rsidP="002A3545">
      <w:pPr>
        <w:spacing w:after="0" w:line="240" w:lineRule="auto"/>
      </w:pPr>
      <w:r>
        <w:separator/>
      </w:r>
    </w:p>
  </w:footnote>
  <w:footnote w:type="continuationSeparator" w:id="0">
    <w:p w14:paraId="3507EFA3" w14:textId="77777777" w:rsidR="00D96866" w:rsidRDefault="00D96866" w:rsidP="002A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362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78C33" w14:textId="2C17A228" w:rsidR="002A3545" w:rsidRDefault="002A35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2ED4E" w14:textId="77777777" w:rsidR="002A3545" w:rsidRDefault="002A3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trQ0szC1sARyLJV0lIJTi4sz8/NACgxrAXfw2PcsAAAA"/>
  </w:docVars>
  <w:rsids>
    <w:rsidRoot w:val="002A3545"/>
    <w:rsid w:val="001770CB"/>
    <w:rsid w:val="002A3545"/>
    <w:rsid w:val="003C623F"/>
    <w:rsid w:val="004F0C87"/>
    <w:rsid w:val="005244B5"/>
    <w:rsid w:val="00613B66"/>
    <w:rsid w:val="006C19BA"/>
    <w:rsid w:val="007269D9"/>
    <w:rsid w:val="007D3DE8"/>
    <w:rsid w:val="00892641"/>
    <w:rsid w:val="00A71ACE"/>
    <w:rsid w:val="00BA17DC"/>
    <w:rsid w:val="00BA4446"/>
    <w:rsid w:val="00C417DD"/>
    <w:rsid w:val="00D96866"/>
    <w:rsid w:val="00DF73E2"/>
    <w:rsid w:val="00E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69EC"/>
  <w15:chartTrackingRefBased/>
  <w15:docId w15:val="{A9395ECA-3B30-4E15-AAF3-9470BBD6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45"/>
  </w:style>
  <w:style w:type="paragraph" w:styleId="Footer">
    <w:name w:val="footer"/>
    <w:basedOn w:val="Normal"/>
    <w:link w:val="FooterChar"/>
    <w:uiPriority w:val="99"/>
    <w:unhideWhenUsed/>
    <w:rsid w:val="002A3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45"/>
  </w:style>
  <w:style w:type="paragraph" w:styleId="NormalWeb">
    <w:name w:val="Normal (Web)"/>
    <w:basedOn w:val="Normal"/>
    <w:uiPriority w:val="99"/>
    <w:semiHidden/>
    <w:unhideWhenUsed/>
    <w:rsid w:val="0089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character" w:styleId="Hyperlink">
    <w:name w:val="Hyperlink"/>
    <w:basedOn w:val="DefaultParagraphFont"/>
    <w:uiPriority w:val="99"/>
    <w:unhideWhenUsed/>
    <w:rsid w:val="00892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syg.2021.712582" TargetMode="External"/><Relationship Id="rId13" Type="http://schemas.openxmlformats.org/officeDocument/2006/relationships/hyperlink" Target="https://doi.org/10.3389/fpubh.2020.00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92/bji.2020.21" TargetMode="External"/><Relationship Id="rId12" Type="http://schemas.openxmlformats.org/officeDocument/2006/relationships/hyperlink" Target="https://www.ncbi.nlm.nih.gov/books/NBK56777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5573566/" TargetMode="External"/><Relationship Id="rId11" Type="http://schemas.openxmlformats.org/officeDocument/2006/relationships/hyperlink" Target="https://doi.org/10.1007/s10238-021-00684-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6061/clinics/2019/e13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s42399-020-00428-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11</cp:revision>
  <dcterms:created xsi:type="dcterms:W3CDTF">2022-09-22T17:06:00Z</dcterms:created>
  <dcterms:modified xsi:type="dcterms:W3CDTF">2022-09-22T18:06:00Z</dcterms:modified>
</cp:coreProperties>
</file>