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73C8D" w:rsidRPr="00123D84" w:rsidP="00123D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3D84">
        <w:rPr>
          <w:rFonts w:ascii="Times New Roman" w:hAnsi="Times New Roman" w:cs="Times New Roman"/>
          <w:sz w:val="24"/>
          <w:szCs w:val="24"/>
        </w:rPr>
        <w:t xml:space="preserve">Hello </w:t>
      </w:r>
      <w:r w:rsidRPr="00123D84" w:rsidR="00855DD2">
        <w:rPr>
          <w:rFonts w:ascii="Times New Roman" w:hAnsi="Times New Roman" w:cs="Times New Roman"/>
          <w:sz w:val="24"/>
          <w:szCs w:val="24"/>
        </w:rPr>
        <w:t>Christian</w:t>
      </w:r>
      <w:r w:rsidR="00123D84">
        <w:rPr>
          <w:rFonts w:ascii="Times New Roman" w:hAnsi="Times New Roman" w:cs="Times New Roman"/>
          <w:sz w:val="24"/>
          <w:szCs w:val="24"/>
        </w:rPr>
        <w:t>,</w:t>
      </w:r>
    </w:p>
    <w:p w:rsidR="00964C00" w:rsidRPr="00123D84" w:rsidP="00123D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3D84">
        <w:rPr>
          <w:rFonts w:ascii="Times New Roman" w:hAnsi="Times New Roman" w:cs="Times New Roman"/>
          <w:sz w:val="24"/>
          <w:szCs w:val="24"/>
        </w:rPr>
        <w:t xml:space="preserve">Great and informative </w:t>
      </w:r>
      <w:r w:rsidRPr="00123D84" w:rsidR="00B7644E">
        <w:rPr>
          <w:rFonts w:ascii="Times New Roman" w:hAnsi="Times New Roman" w:cs="Times New Roman"/>
          <w:sz w:val="24"/>
          <w:szCs w:val="24"/>
        </w:rPr>
        <w:t xml:space="preserve">post. </w:t>
      </w:r>
      <w:r w:rsidRPr="00123D84" w:rsidR="00375932">
        <w:rPr>
          <w:rFonts w:ascii="Times New Roman" w:hAnsi="Times New Roman" w:cs="Times New Roman"/>
          <w:sz w:val="24"/>
          <w:szCs w:val="24"/>
        </w:rPr>
        <w:t xml:space="preserve">Scabies is a contagious skin condition that results from mite information. </w:t>
      </w:r>
      <w:r w:rsidRPr="00123D84" w:rsidR="00AA0DFF">
        <w:rPr>
          <w:rFonts w:ascii="Times New Roman" w:hAnsi="Times New Roman" w:cs="Times New Roman"/>
          <w:sz w:val="24"/>
          <w:szCs w:val="24"/>
        </w:rPr>
        <w:t>Topical permethrin</w:t>
      </w:r>
      <w:r w:rsidRPr="00123D84" w:rsidR="00AC4554">
        <w:rPr>
          <w:rFonts w:ascii="Times New Roman" w:hAnsi="Times New Roman" w:cs="Times New Roman"/>
          <w:sz w:val="24"/>
          <w:szCs w:val="24"/>
        </w:rPr>
        <w:t xml:space="preserve"> should be applied once externally on the patient integument in common cases of scabies. As an adult, the patient should apply</w:t>
      </w:r>
      <w:r w:rsidRPr="00123D84" w:rsidR="00064EAF">
        <w:rPr>
          <w:rFonts w:ascii="Times New Roman" w:hAnsi="Times New Roman" w:cs="Times New Roman"/>
          <w:sz w:val="24"/>
          <w:szCs w:val="24"/>
        </w:rPr>
        <w:t xml:space="preserve"> evenly and meticulously at least 25-30g. The skin </w:t>
      </w:r>
      <w:r w:rsidRPr="00123D84" w:rsidR="00064EAF">
        <w:rPr>
          <w:rFonts w:ascii="Times New Roman" w:hAnsi="Times New Roman" w:cs="Times New Roman"/>
          <w:sz w:val="24"/>
          <w:szCs w:val="24"/>
        </w:rPr>
        <w:t>should be kept</w:t>
      </w:r>
      <w:r w:rsidRPr="00123D84" w:rsidR="00064EAF">
        <w:rPr>
          <w:rFonts w:ascii="Times New Roman" w:hAnsi="Times New Roman" w:cs="Times New Roman"/>
          <w:sz w:val="24"/>
          <w:szCs w:val="24"/>
        </w:rPr>
        <w:t xml:space="preserve"> dry for a minimum of 30 minutes before</w:t>
      </w:r>
      <w:r w:rsidRPr="00123D84" w:rsidR="00ED37CC">
        <w:rPr>
          <w:rFonts w:ascii="Times New Roman" w:hAnsi="Times New Roman" w:cs="Times New Roman"/>
          <w:sz w:val="24"/>
          <w:szCs w:val="24"/>
        </w:rPr>
        <w:t xml:space="preserve">hand. The rationale </w:t>
      </w:r>
      <w:r w:rsidRPr="00123D84" w:rsidR="00ED37CC">
        <w:rPr>
          <w:rFonts w:ascii="Times New Roman" w:hAnsi="Times New Roman" w:cs="Times New Roman"/>
          <w:sz w:val="24"/>
          <w:szCs w:val="24"/>
        </w:rPr>
        <w:t>is grounded</w:t>
      </w:r>
      <w:r w:rsidRPr="00123D84" w:rsidR="00ED37CC">
        <w:rPr>
          <w:rFonts w:ascii="Times New Roman" w:hAnsi="Times New Roman" w:cs="Times New Roman"/>
          <w:sz w:val="24"/>
          <w:szCs w:val="24"/>
        </w:rPr>
        <w:t xml:space="preserve"> on the lipophilic nature of </w:t>
      </w:r>
      <w:r w:rsidRPr="00123D84" w:rsidR="00ED37CC">
        <w:rPr>
          <w:rFonts w:ascii="Times New Roman" w:hAnsi="Times New Roman" w:cs="Times New Roman"/>
          <w:sz w:val="24"/>
          <w:szCs w:val="24"/>
        </w:rPr>
        <w:t>permethrin</w:t>
      </w:r>
      <w:r w:rsidRPr="00123D84" w:rsidR="00FD23BF">
        <w:rPr>
          <w:rFonts w:ascii="Times New Roman" w:hAnsi="Times New Roman" w:cs="Times New Roman"/>
          <w:sz w:val="24"/>
          <w:szCs w:val="24"/>
        </w:rPr>
        <w:t xml:space="preserve"> and hydration of stratum </w:t>
      </w:r>
      <w:r w:rsidRPr="00123D84" w:rsidR="00FD23BF">
        <w:rPr>
          <w:rFonts w:ascii="Times New Roman" w:hAnsi="Times New Roman" w:cs="Times New Roman"/>
          <w:sz w:val="24"/>
          <w:szCs w:val="24"/>
        </w:rPr>
        <w:t>corneum</w:t>
      </w:r>
      <w:r w:rsidRPr="00123D84" w:rsidR="00FD23BF">
        <w:rPr>
          <w:rFonts w:ascii="Times New Roman" w:hAnsi="Times New Roman" w:cs="Times New Roman"/>
          <w:sz w:val="24"/>
          <w:szCs w:val="24"/>
        </w:rPr>
        <w:t xml:space="preserve"> by bathing or washing minimizes its cutaneous bioavailability (</w:t>
      </w:r>
      <w:r w:rsidRPr="00123D84" w:rsidR="00123D84">
        <w:rPr>
          <w:rFonts w:ascii="Times New Roman" w:hAnsi="Times New Roman" w:cs="Times New Roman"/>
          <w:sz w:val="24"/>
          <w:szCs w:val="24"/>
        </w:rPr>
        <w:t>Sunderkötter</w:t>
      </w:r>
      <w:r w:rsidRPr="00123D84" w:rsidR="00123D84">
        <w:rPr>
          <w:rFonts w:ascii="Times New Roman" w:hAnsi="Times New Roman" w:cs="Times New Roman"/>
          <w:sz w:val="24"/>
          <w:szCs w:val="24"/>
        </w:rPr>
        <w:t xml:space="preserve"> et al., 2021</w:t>
      </w:r>
      <w:r w:rsidRPr="00123D84" w:rsidR="00FD23BF">
        <w:rPr>
          <w:rFonts w:ascii="Times New Roman" w:hAnsi="Times New Roman" w:cs="Times New Roman"/>
          <w:sz w:val="24"/>
          <w:szCs w:val="24"/>
        </w:rPr>
        <w:t xml:space="preserve">). </w:t>
      </w:r>
      <w:r w:rsidRPr="00123D84" w:rsidR="00FA32F8">
        <w:rPr>
          <w:rFonts w:ascii="Times New Roman" w:hAnsi="Times New Roman" w:cs="Times New Roman"/>
          <w:sz w:val="24"/>
          <w:szCs w:val="24"/>
        </w:rPr>
        <w:t xml:space="preserve">Notably, preparation </w:t>
      </w:r>
      <w:r w:rsidRPr="00123D84" w:rsidR="00FA32F8">
        <w:rPr>
          <w:rFonts w:ascii="Times New Roman" w:hAnsi="Times New Roman" w:cs="Times New Roman"/>
          <w:sz w:val="24"/>
          <w:szCs w:val="24"/>
        </w:rPr>
        <w:t>should be allowed</w:t>
      </w:r>
      <w:r w:rsidRPr="00123D84" w:rsidR="00FA32F8">
        <w:rPr>
          <w:rFonts w:ascii="Times New Roman" w:hAnsi="Times New Roman" w:cs="Times New Roman"/>
          <w:sz w:val="24"/>
          <w:szCs w:val="24"/>
        </w:rPr>
        <w:t xml:space="preserve"> into the skin for approximately five to 10 minutes before covering the skin with clothing and washing should be a minimum of eight to 12 hours</w:t>
      </w:r>
      <w:r w:rsidRPr="00123D84" w:rsidR="00882632">
        <w:rPr>
          <w:rFonts w:ascii="Times New Roman" w:hAnsi="Times New Roman" w:cs="Times New Roman"/>
          <w:sz w:val="24"/>
          <w:szCs w:val="24"/>
        </w:rPr>
        <w:t xml:space="preserve">. Besides, bodily contact </w:t>
      </w:r>
      <w:r w:rsidRPr="00123D84" w:rsidR="00882632">
        <w:rPr>
          <w:rFonts w:ascii="Times New Roman" w:hAnsi="Times New Roman" w:cs="Times New Roman"/>
          <w:sz w:val="24"/>
          <w:szCs w:val="24"/>
        </w:rPr>
        <w:t>sh</w:t>
      </w:r>
      <w:r w:rsidRPr="00123D84" w:rsidR="00B56E9A">
        <w:rPr>
          <w:rFonts w:ascii="Times New Roman" w:hAnsi="Times New Roman" w:cs="Times New Roman"/>
          <w:sz w:val="24"/>
          <w:szCs w:val="24"/>
        </w:rPr>
        <w:t>ould be avoided</w:t>
      </w:r>
      <w:r w:rsidRPr="00123D84" w:rsidR="00B56E9A">
        <w:rPr>
          <w:rFonts w:ascii="Times New Roman" w:hAnsi="Times New Roman" w:cs="Times New Roman"/>
          <w:sz w:val="24"/>
          <w:szCs w:val="24"/>
        </w:rPr>
        <w:t xml:space="preserve"> for 36 hours.</w:t>
      </w:r>
      <w:r w:rsidRPr="00123D84" w:rsidR="00882632">
        <w:rPr>
          <w:rFonts w:ascii="Times New Roman" w:hAnsi="Times New Roman" w:cs="Times New Roman"/>
          <w:sz w:val="24"/>
          <w:szCs w:val="24"/>
        </w:rPr>
        <w:t xml:space="preserve"> </w:t>
      </w:r>
      <w:r w:rsidRPr="00123D84" w:rsidR="00B56E9A">
        <w:rPr>
          <w:rFonts w:ascii="Times New Roman" w:hAnsi="Times New Roman" w:cs="Times New Roman"/>
          <w:sz w:val="24"/>
          <w:szCs w:val="24"/>
        </w:rPr>
        <w:t>The</w:t>
      </w:r>
      <w:r w:rsidRPr="00123D84" w:rsidR="00882632">
        <w:rPr>
          <w:rFonts w:ascii="Times New Roman" w:hAnsi="Times New Roman" w:cs="Times New Roman"/>
          <w:sz w:val="24"/>
          <w:szCs w:val="24"/>
        </w:rPr>
        <w:t xml:space="preserve"> patient should repeat application in seven to 10 days to avoid recurrence</w:t>
      </w:r>
      <w:r w:rsidRPr="00123D84" w:rsidR="00B56E9A">
        <w:rPr>
          <w:rFonts w:ascii="Times New Roman" w:hAnsi="Times New Roman" w:cs="Times New Roman"/>
          <w:sz w:val="24"/>
          <w:szCs w:val="24"/>
        </w:rPr>
        <w:t xml:space="preserve"> due to common incomplete and inadequate treatment of the entire skin and low-viscosity extemporaneous preparations (</w:t>
      </w:r>
      <w:r w:rsidRPr="00123D84" w:rsidR="00123D84">
        <w:rPr>
          <w:rFonts w:ascii="Times New Roman" w:hAnsi="Times New Roman" w:cs="Times New Roman"/>
          <w:sz w:val="24"/>
          <w:szCs w:val="24"/>
        </w:rPr>
        <w:t>Sunderkötter</w:t>
      </w:r>
      <w:r w:rsidRPr="00123D84" w:rsidR="00123D84">
        <w:rPr>
          <w:rFonts w:ascii="Times New Roman" w:hAnsi="Times New Roman" w:cs="Times New Roman"/>
          <w:sz w:val="24"/>
          <w:szCs w:val="24"/>
        </w:rPr>
        <w:t xml:space="preserve"> et al., 2021</w:t>
      </w:r>
      <w:r w:rsidRPr="00123D84" w:rsidR="00B56E9A">
        <w:rPr>
          <w:rFonts w:ascii="Times New Roman" w:hAnsi="Times New Roman" w:cs="Times New Roman"/>
          <w:sz w:val="24"/>
          <w:szCs w:val="24"/>
        </w:rPr>
        <w:t>).</w:t>
      </w:r>
      <w:r w:rsidRPr="00123D84" w:rsidR="007750CA">
        <w:rPr>
          <w:rFonts w:ascii="Times New Roman" w:hAnsi="Times New Roman" w:cs="Times New Roman"/>
          <w:sz w:val="24"/>
          <w:szCs w:val="24"/>
        </w:rPr>
        <w:t xml:space="preserve"> Alternatively, topical </w:t>
      </w:r>
      <w:r w:rsidRPr="00123D84" w:rsidR="00123D84">
        <w:rPr>
          <w:rFonts w:ascii="Times New Roman" w:hAnsi="Times New Roman" w:cs="Times New Roman"/>
          <w:sz w:val="24"/>
          <w:szCs w:val="24"/>
        </w:rPr>
        <w:t xml:space="preserve">application of </w:t>
      </w:r>
      <w:r w:rsidRPr="00123D84" w:rsidR="00123D84">
        <w:rPr>
          <w:rFonts w:ascii="Times New Roman" w:hAnsi="Times New Roman" w:cs="Times New Roman"/>
          <w:sz w:val="24"/>
          <w:szCs w:val="24"/>
        </w:rPr>
        <w:t>crotamiton</w:t>
      </w:r>
      <w:r w:rsidRPr="00123D84" w:rsidR="00123D84">
        <w:rPr>
          <w:rFonts w:ascii="Times New Roman" w:hAnsi="Times New Roman" w:cs="Times New Roman"/>
          <w:sz w:val="24"/>
          <w:szCs w:val="24"/>
        </w:rPr>
        <w:t xml:space="preserve"> </w:t>
      </w:r>
      <w:r w:rsidRPr="00123D84" w:rsidR="007750CA">
        <w:rPr>
          <w:rFonts w:ascii="Times New Roman" w:hAnsi="Times New Roman" w:cs="Times New Roman"/>
          <w:sz w:val="24"/>
          <w:szCs w:val="24"/>
        </w:rPr>
        <w:t xml:space="preserve">10% on three to five consecutive days presents comparable efficacy but requires more </w:t>
      </w:r>
      <w:r w:rsidRPr="00123D84" w:rsidR="007D43B5">
        <w:rPr>
          <w:rFonts w:ascii="Times New Roman" w:hAnsi="Times New Roman" w:cs="Times New Roman"/>
          <w:sz w:val="24"/>
          <w:szCs w:val="24"/>
        </w:rPr>
        <w:t>effort since it counteracts itch but can irritate the ski</w:t>
      </w:r>
      <w:r w:rsidRPr="00123D84" w:rsidR="00123D84">
        <w:rPr>
          <w:rFonts w:ascii="Times New Roman" w:hAnsi="Times New Roman" w:cs="Times New Roman"/>
          <w:sz w:val="24"/>
          <w:szCs w:val="24"/>
        </w:rPr>
        <w:t>n</w:t>
      </w:r>
    </w:p>
    <w:p w:rsidR="00B56E9A" w:rsidRPr="00123D84" w:rsidP="00123D8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D84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B56E9A" w:rsidRPr="00123D84" w:rsidP="00123D8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23D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Sunderkötter</w:t>
      </w:r>
      <w:r w:rsidRPr="00123D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r w:rsidRPr="00123D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Wohlrab</w:t>
      </w:r>
      <w:r w:rsidRPr="00123D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Hamm, H. (2021). Scabies: Epidemiology, Diagnosis, and Treatment. </w:t>
      </w:r>
      <w:r w:rsidRPr="00123D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Deutsches</w:t>
      </w:r>
      <w:r w:rsidRPr="00123D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123D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Ärzteblatt</w:t>
      </w:r>
      <w:r w:rsidRPr="00123D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International</w:t>
      </w:r>
      <w:r w:rsidRPr="00123D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23D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118</w:t>
      </w:r>
      <w:r w:rsidRPr="00123D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(41), 695.</w:t>
      </w:r>
      <w:r w:rsidRPr="00123D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123D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https://doi.org/10.3238%2Farztebl.m2021.0296</w:t>
        </w:r>
      </w:hyperlink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2"/>
    <w:rsid w:val="00064EAF"/>
    <w:rsid w:val="00123D84"/>
    <w:rsid w:val="00173C8D"/>
    <w:rsid w:val="00375932"/>
    <w:rsid w:val="007750CA"/>
    <w:rsid w:val="007D43B5"/>
    <w:rsid w:val="00855DD2"/>
    <w:rsid w:val="00882632"/>
    <w:rsid w:val="00964C00"/>
    <w:rsid w:val="00AA0DFF"/>
    <w:rsid w:val="00AC4554"/>
    <w:rsid w:val="00B56E9A"/>
    <w:rsid w:val="00B7644E"/>
    <w:rsid w:val="00ED37CC"/>
    <w:rsid w:val="00FA32F8"/>
    <w:rsid w:val="00FB4E96"/>
    <w:rsid w:val="00FD23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B0BC69"/>
  <w15:chartTrackingRefBased/>
  <w15:docId w15:val="{1E52C36C-093E-440F-86FC-59A7C70F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3238%2Farztebl.m2021.029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2022-09-22T19:45:00Z</dcterms:created>
  <dcterms:modified xsi:type="dcterms:W3CDTF">2022-09-22T20:11:00Z</dcterms:modified>
</cp:coreProperties>
</file>