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F56" w:rsidRPr="00A84D26" w:rsidRDefault="00ED69C7" w:rsidP="00A84D2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D26">
        <w:rPr>
          <w:rFonts w:ascii="Times New Roman" w:hAnsi="Times New Roman" w:cs="Times New Roman"/>
          <w:b/>
          <w:sz w:val="24"/>
          <w:szCs w:val="24"/>
        </w:rPr>
        <w:t>Week 5 Discussion 1: Pain Management Case Study</w:t>
      </w:r>
    </w:p>
    <w:p w:rsidR="00A84D26" w:rsidRPr="00A84D26" w:rsidRDefault="00017A64" w:rsidP="00A84D26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A84D26">
        <w:rPr>
          <w:rFonts w:ascii="Times New Roman" w:hAnsi="Times New Roman" w:cs="Times New Roman"/>
          <w:bCs/>
          <w:sz w:val="24"/>
          <w:szCs w:val="24"/>
        </w:rPr>
        <w:t xml:space="preserve">In this case scenario, J.T.’s behavior can best be described as </w:t>
      </w:r>
      <w:r w:rsidR="00D6535A" w:rsidRPr="00A84D26">
        <w:rPr>
          <w:rFonts w:ascii="Times New Roman" w:hAnsi="Times New Roman" w:cs="Times New Roman"/>
          <w:bCs/>
          <w:sz w:val="24"/>
          <w:szCs w:val="24"/>
        </w:rPr>
        <w:t xml:space="preserve">dependence considering that </w:t>
      </w:r>
      <w:r w:rsidR="002530F3" w:rsidRPr="00A84D26">
        <w:rPr>
          <w:rFonts w:ascii="Times New Roman" w:hAnsi="Times New Roman" w:cs="Times New Roman"/>
          <w:bCs/>
          <w:sz w:val="24"/>
          <w:szCs w:val="24"/>
        </w:rPr>
        <w:t xml:space="preserve">he </w:t>
      </w:r>
      <w:r w:rsidR="00BB4BD7" w:rsidRPr="00A84D26">
        <w:rPr>
          <w:rFonts w:ascii="Times New Roman" w:hAnsi="Times New Roman" w:cs="Times New Roman"/>
          <w:bCs/>
          <w:sz w:val="24"/>
          <w:szCs w:val="24"/>
        </w:rPr>
        <w:t>has</w:t>
      </w:r>
      <w:r w:rsidR="002530F3" w:rsidRPr="00A84D26">
        <w:rPr>
          <w:rFonts w:ascii="Times New Roman" w:hAnsi="Times New Roman" w:cs="Times New Roman"/>
          <w:bCs/>
          <w:sz w:val="24"/>
          <w:szCs w:val="24"/>
        </w:rPr>
        <w:t xml:space="preserve"> a history of chronic cancer pain and he have been using </w:t>
      </w:r>
      <w:r w:rsidR="002530F3" w:rsidRPr="00A84D26">
        <w:rPr>
          <w:rFonts w:ascii="Times New Roman" w:hAnsi="Times New Roman" w:cs="Times New Roman"/>
          <w:bCs/>
          <w:sz w:val="24"/>
          <w:szCs w:val="24"/>
        </w:rPr>
        <w:t>Morphine SR 60 mg PO q8h</w:t>
      </w:r>
      <w:r w:rsidR="002530F3" w:rsidRPr="00A84D26">
        <w:rPr>
          <w:rFonts w:ascii="Times New Roman" w:hAnsi="Times New Roman" w:cs="Times New Roman"/>
          <w:bCs/>
          <w:sz w:val="24"/>
          <w:szCs w:val="24"/>
        </w:rPr>
        <w:t xml:space="preserve"> in managing his symptoms. Following his admission at the facility, he received </w:t>
      </w:r>
      <w:r w:rsidR="002530F3" w:rsidRPr="00A84D26">
        <w:rPr>
          <w:rFonts w:ascii="Times New Roman" w:hAnsi="Times New Roman" w:cs="Times New Roman"/>
          <w:bCs/>
          <w:sz w:val="24"/>
          <w:szCs w:val="24"/>
        </w:rPr>
        <w:t>morphine 2 mg IV q4h</w:t>
      </w:r>
      <w:r w:rsidR="002530F3" w:rsidRPr="00A84D26">
        <w:rPr>
          <w:rFonts w:ascii="Times New Roman" w:hAnsi="Times New Roman" w:cs="Times New Roman"/>
          <w:bCs/>
          <w:sz w:val="24"/>
          <w:szCs w:val="24"/>
        </w:rPr>
        <w:t xml:space="preserve"> as ordered by the provider. </w:t>
      </w:r>
      <w:r w:rsidR="001E1DD5" w:rsidRPr="00A84D26">
        <w:rPr>
          <w:rFonts w:ascii="Times New Roman" w:hAnsi="Times New Roman" w:cs="Times New Roman"/>
          <w:bCs/>
          <w:sz w:val="24"/>
          <w:szCs w:val="24"/>
        </w:rPr>
        <w:t xml:space="preserve">After receiving a lesser </w:t>
      </w:r>
      <w:r w:rsidR="005B0EDB" w:rsidRPr="00A84D26">
        <w:rPr>
          <w:rFonts w:ascii="Times New Roman" w:hAnsi="Times New Roman" w:cs="Times New Roman"/>
          <w:bCs/>
          <w:sz w:val="24"/>
          <w:szCs w:val="24"/>
        </w:rPr>
        <w:t>dosage,</w:t>
      </w:r>
      <w:r w:rsidR="001E1DD5" w:rsidRPr="00A84D26">
        <w:rPr>
          <w:rFonts w:ascii="Times New Roman" w:hAnsi="Times New Roman" w:cs="Times New Roman"/>
          <w:bCs/>
          <w:sz w:val="24"/>
          <w:szCs w:val="24"/>
        </w:rPr>
        <w:t xml:space="preserve"> the client, due to dependence the client described that his pain only moved from </w:t>
      </w:r>
      <w:bookmarkStart w:id="0" w:name="_GoBack"/>
      <w:bookmarkEnd w:id="0"/>
      <w:r w:rsidR="001E1DD5" w:rsidRPr="00A84D26">
        <w:rPr>
          <w:rFonts w:ascii="Times New Roman" w:hAnsi="Times New Roman" w:cs="Times New Roman"/>
          <w:bCs/>
          <w:sz w:val="24"/>
          <w:szCs w:val="24"/>
        </w:rPr>
        <w:t xml:space="preserve">9 to 8 thereby requested for more pain medication. </w:t>
      </w:r>
      <w:r w:rsidR="005B0EDB" w:rsidRPr="00A84D26">
        <w:rPr>
          <w:rFonts w:ascii="Times New Roman" w:hAnsi="Times New Roman" w:cs="Times New Roman"/>
          <w:bCs/>
          <w:sz w:val="24"/>
          <w:szCs w:val="24"/>
        </w:rPr>
        <w:t>Reducing the amount of the dosage or if the drug isn’t present individuals with dependence tends to present with withdrawal symptoms.</w:t>
      </w:r>
      <w:r w:rsidR="00D16CCE" w:rsidRPr="00A84D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2814" w:rsidRPr="00A84D26">
        <w:rPr>
          <w:rFonts w:ascii="Times New Roman" w:hAnsi="Times New Roman" w:cs="Times New Roman"/>
          <w:bCs/>
          <w:sz w:val="24"/>
          <w:szCs w:val="24"/>
        </w:rPr>
        <w:t xml:space="preserve">My recommendation for </w:t>
      </w:r>
      <w:r w:rsidR="00B60727" w:rsidRPr="00A84D26">
        <w:rPr>
          <w:rFonts w:ascii="Times New Roman" w:hAnsi="Times New Roman" w:cs="Times New Roman"/>
          <w:bCs/>
          <w:sz w:val="24"/>
          <w:szCs w:val="24"/>
        </w:rPr>
        <w:t xml:space="preserve">changing the client’s dosage to an alternative regimen would be changing </w:t>
      </w:r>
      <w:r w:rsidR="00B60727" w:rsidRPr="00A84D26">
        <w:rPr>
          <w:rFonts w:ascii="Times New Roman" w:hAnsi="Times New Roman" w:cs="Times New Roman"/>
          <w:bCs/>
          <w:sz w:val="24"/>
          <w:szCs w:val="24"/>
        </w:rPr>
        <w:t>opioid to fentanyl patch 50 mcg q72h.</w:t>
      </w:r>
      <w:r w:rsidR="00EB64A2" w:rsidRPr="00A84D26">
        <w:rPr>
          <w:rFonts w:ascii="Times New Roman" w:hAnsi="Times New Roman" w:cs="Times New Roman"/>
          <w:bCs/>
          <w:sz w:val="24"/>
          <w:szCs w:val="24"/>
        </w:rPr>
        <w:t xml:space="preserve"> Changing to this medication would help in managing the client’s pain considering that the medication is used a pain reli</w:t>
      </w:r>
      <w:r w:rsidR="00494F95" w:rsidRPr="00A84D26">
        <w:rPr>
          <w:rFonts w:ascii="Times New Roman" w:hAnsi="Times New Roman" w:cs="Times New Roman"/>
          <w:bCs/>
          <w:sz w:val="24"/>
          <w:szCs w:val="24"/>
        </w:rPr>
        <w:t xml:space="preserve">ef in the management of cancer related pain. </w:t>
      </w:r>
      <w:r w:rsidR="00424E8E" w:rsidRPr="00A84D26">
        <w:rPr>
          <w:rFonts w:ascii="Times New Roman" w:hAnsi="Times New Roman" w:cs="Times New Roman"/>
          <w:bCs/>
          <w:sz w:val="24"/>
          <w:szCs w:val="24"/>
        </w:rPr>
        <w:t xml:space="preserve">Besides, the medication undergoes rapid biotransformation in the liver that makes it safe for a patient with acute renal failure as it </w:t>
      </w:r>
      <w:r w:rsidR="004A5C61" w:rsidRPr="00A84D26">
        <w:rPr>
          <w:rFonts w:ascii="Times New Roman" w:hAnsi="Times New Roman" w:cs="Times New Roman"/>
          <w:bCs/>
          <w:sz w:val="24"/>
          <w:szCs w:val="24"/>
        </w:rPr>
        <w:t>cleared without any adverse effects while effectively managing the associated pain (</w:t>
      </w:r>
      <w:proofErr w:type="spellStart"/>
      <w:r w:rsidR="00B949B9"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Kuczynska</w:t>
      </w:r>
      <w:proofErr w:type="spellEnd"/>
      <w:r w:rsidR="00B949B9"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949B9"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&amp; </w:t>
      </w:r>
      <w:proofErr w:type="spellStart"/>
      <w:r w:rsidR="00B949B9"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Boncler</w:t>
      </w:r>
      <w:proofErr w:type="spellEnd"/>
      <w:r w:rsidR="00B949B9"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2020</w:t>
      </w:r>
      <w:r w:rsidR="004A5C61" w:rsidRPr="00A84D26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D27C61" w:rsidRPr="00A84D26" w:rsidRDefault="00771124" w:rsidP="00A84D26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A84D26">
        <w:rPr>
          <w:rFonts w:ascii="Times New Roman" w:hAnsi="Times New Roman" w:cs="Times New Roman"/>
          <w:bCs/>
          <w:sz w:val="24"/>
          <w:szCs w:val="24"/>
        </w:rPr>
        <w:t xml:space="preserve">Tolerance is not likely to </w:t>
      </w:r>
      <w:r w:rsidR="00FA5D8D" w:rsidRPr="00A84D26">
        <w:rPr>
          <w:rFonts w:ascii="Times New Roman" w:hAnsi="Times New Roman" w:cs="Times New Roman"/>
          <w:bCs/>
          <w:sz w:val="24"/>
          <w:szCs w:val="24"/>
        </w:rPr>
        <w:t xml:space="preserve">develop on the adverse effect of constipation. </w:t>
      </w:r>
      <w:r w:rsidR="0078478C" w:rsidRPr="00A84D26">
        <w:rPr>
          <w:rFonts w:ascii="Times New Roman" w:hAnsi="Times New Roman" w:cs="Times New Roman"/>
          <w:bCs/>
          <w:sz w:val="24"/>
          <w:szCs w:val="24"/>
        </w:rPr>
        <w:t xml:space="preserve"> Development of constipation as the </w:t>
      </w:r>
      <w:r w:rsidR="00D337F1" w:rsidRPr="00A84D26">
        <w:rPr>
          <w:rFonts w:ascii="Times New Roman" w:hAnsi="Times New Roman" w:cs="Times New Roman"/>
          <w:bCs/>
          <w:sz w:val="24"/>
          <w:szCs w:val="24"/>
        </w:rPr>
        <w:t>opioid</w:t>
      </w:r>
      <w:r w:rsidR="0078478C" w:rsidRPr="00A84D26">
        <w:rPr>
          <w:rFonts w:ascii="Times New Roman" w:hAnsi="Times New Roman" w:cs="Times New Roman"/>
          <w:bCs/>
          <w:sz w:val="24"/>
          <w:szCs w:val="24"/>
        </w:rPr>
        <w:t xml:space="preserve"> adv</w:t>
      </w:r>
      <w:r w:rsidR="00D337F1" w:rsidRPr="00A84D26">
        <w:rPr>
          <w:rFonts w:ascii="Times New Roman" w:hAnsi="Times New Roman" w:cs="Times New Roman"/>
          <w:bCs/>
          <w:sz w:val="24"/>
          <w:szCs w:val="24"/>
        </w:rPr>
        <w:t>e</w:t>
      </w:r>
      <w:r w:rsidR="0078478C" w:rsidRPr="00A84D26">
        <w:rPr>
          <w:rFonts w:ascii="Times New Roman" w:hAnsi="Times New Roman" w:cs="Times New Roman"/>
          <w:bCs/>
          <w:sz w:val="24"/>
          <w:szCs w:val="24"/>
        </w:rPr>
        <w:t xml:space="preserve">rse effect may call for the discontinuation </w:t>
      </w:r>
      <w:r w:rsidR="00D337F1" w:rsidRPr="00A84D26">
        <w:rPr>
          <w:rFonts w:ascii="Times New Roman" w:hAnsi="Times New Roman" w:cs="Times New Roman"/>
          <w:bCs/>
          <w:sz w:val="24"/>
          <w:szCs w:val="24"/>
        </w:rPr>
        <w:t>of the dosage to prevent the possibility of harming the patient rather than benefiting him from the treatment plan (</w:t>
      </w:r>
      <w:proofErr w:type="spellStart"/>
      <w:r w:rsidR="00DB57F3"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Lajam</w:t>
      </w:r>
      <w:proofErr w:type="spellEnd"/>
      <w:r w:rsidR="00DB57F3"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</w:t>
      </w:r>
      <w:r w:rsidR="001856C5"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</w:t>
      </w:r>
      <w:r w:rsidR="003A45F4"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</w:t>
      </w:r>
      <w:r w:rsidR="00D337F1" w:rsidRPr="00A84D26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805FD3" w:rsidRPr="00A84D26">
        <w:rPr>
          <w:rFonts w:ascii="Times New Roman" w:hAnsi="Times New Roman" w:cs="Times New Roman"/>
          <w:bCs/>
          <w:sz w:val="24"/>
          <w:szCs w:val="24"/>
        </w:rPr>
        <w:t xml:space="preserve">As a healthcare provider I also need to understand </w:t>
      </w:r>
      <w:r w:rsidR="001609AA" w:rsidRPr="00A84D26">
        <w:rPr>
          <w:rFonts w:ascii="Times New Roman" w:hAnsi="Times New Roman" w:cs="Times New Roman"/>
          <w:bCs/>
          <w:sz w:val="24"/>
          <w:szCs w:val="24"/>
        </w:rPr>
        <w:t xml:space="preserve">the client’s </w:t>
      </w:r>
      <w:r w:rsidR="00C859A4" w:rsidRPr="00A84D26">
        <w:rPr>
          <w:rFonts w:ascii="Times New Roman" w:hAnsi="Times New Roman" w:cs="Times New Roman"/>
          <w:bCs/>
          <w:sz w:val="24"/>
          <w:szCs w:val="24"/>
        </w:rPr>
        <w:t xml:space="preserve">psychological, social, developmental, cultural, spiritual as well as his physiological data. </w:t>
      </w:r>
      <w:r w:rsidR="00E922E6" w:rsidRPr="00A84D26">
        <w:rPr>
          <w:rFonts w:ascii="Times New Roman" w:hAnsi="Times New Roman" w:cs="Times New Roman"/>
          <w:bCs/>
          <w:sz w:val="24"/>
          <w:szCs w:val="24"/>
        </w:rPr>
        <w:t xml:space="preserve">Assessing this information from the client is vital in providing patient-centered care services as it will be helpful in </w:t>
      </w:r>
      <w:r w:rsidR="00DC1301" w:rsidRPr="00A84D26">
        <w:rPr>
          <w:rFonts w:ascii="Times New Roman" w:hAnsi="Times New Roman" w:cs="Times New Roman"/>
          <w:bCs/>
          <w:sz w:val="24"/>
          <w:szCs w:val="24"/>
        </w:rPr>
        <w:t xml:space="preserve">understanding </w:t>
      </w:r>
      <w:r w:rsidR="006111AC" w:rsidRPr="00A84D26">
        <w:rPr>
          <w:rFonts w:ascii="Times New Roman" w:hAnsi="Times New Roman" w:cs="Times New Roman"/>
          <w:bCs/>
          <w:sz w:val="24"/>
          <w:szCs w:val="24"/>
        </w:rPr>
        <w:t xml:space="preserve">some of the factors that might have influenced his current health and lifestyle choices. </w:t>
      </w:r>
      <w:r w:rsidR="00893B69" w:rsidRPr="00A84D26">
        <w:rPr>
          <w:rFonts w:ascii="Times New Roman" w:hAnsi="Times New Roman" w:cs="Times New Roman"/>
          <w:bCs/>
          <w:sz w:val="24"/>
          <w:szCs w:val="24"/>
        </w:rPr>
        <w:t xml:space="preserve">It is significant for J.T. to adopt effective </w:t>
      </w:r>
      <w:r w:rsidR="00584F0E" w:rsidRPr="00A84D26">
        <w:rPr>
          <w:rFonts w:ascii="Times New Roman" w:hAnsi="Times New Roman" w:cs="Times New Roman"/>
          <w:bCs/>
          <w:sz w:val="24"/>
          <w:szCs w:val="24"/>
        </w:rPr>
        <w:t xml:space="preserve">cancer management practices that include physical and mental relaxation techniques including yoga that will help him in managing the </w:t>
      </w:r>
      <w:r w:rsidR="00584F0E" w:rsidRPr="00A84D2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anxiety </w:t>
      </w:r>
      <w:r w:rsidR="009153A7" w:rsidRPr="00A84D26">
        <w:rPr>
          <w:rFonts w:ascii="Times New Roman" w:hAnsi="Times New Roman" w:cs="Times New Roman"/>
          <w:bCs/>
          <w:sz w:val="24"/>
          <w:szCs w:val="24"/>
        </w:rPr>
        <w:t>linked to his condition thereby</w:t>
      </w:r>
      <w:r w:rsidR="00807B11" w:rsidRPr="00A84D26">
        <w:rPr>
          <w:rFonts w:ascii="Times New Roman" w:hAnsi="Times New Roman" w:cs="Times New Roman"/>
          <w:bCs/>
          <w:sz w:val="24"/>
          <w:szCs w:val="24"/>
        </w:rPr>
        <w:t xml:space="preserve"> providing him with better pain coping mechanisms. </w:t>
      </w:r>
      <w:r w:rsidR="007F6196" w:rsidRPr="00A84D26">
        <w:rPr>
          <w:rFonts w:ascii="Times New Roman" w:hAnsi="Times New Roman" w:cs="Times New Roman"/>
          <w:bCs/>
          <w:sz w:val="24"/>
          <w:szCs w:val="24"/>
        </w:rPr>
        <w:t>Other relational techniques that can be helpful to this client include meditation and hypnotherapy</w:t>
      </w:r>
      <w:r w:rsidR="00EC6C4B" w:rsidRPr="00A84D26">
        <w:rPr>
          <w:rFonts w:ascii="Times New Roman" w:hAnsi="Times New Roman" w:cs="Times New Roman"/>
          <w:bCs/>
          <w:sz w:val="24"/>
          <w:szCs w:val="24"/>
        </w:rPr>
        <w:t xml:space="preserve"> that enhances a relaxed state of mind besides easing some cancer side effects such as nausea (</w:t>
      </w:r>
      <w:r w:rsidR="00484FBC" w:rsidRPr="00A84D26">
        <w:rPr>
          <w:rFonts w:ascii="Times New Roman" w:hAnsi="Times New Roman" w:cs="Times New Roman"/>
          <w:bCs/>
          <w:sz w:val="24"/>
          <w:szCs w:val="24"/>
        </w:rPr>
        <w:t>Gill, 2018</w:t>
      </w:r>
      <w:r w:rsidR="00EC6C4B" w:rsidRPr="00A84D26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7F6196" w:rsidRPr="00A84D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E6DF5" w:rsidRPr="00A84D26" w:rsidRDefault="001E6DF5" w:rsidP="00A84D26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A84D26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C07B5A" w:rsidRPr="00A84D26">
        <w:rPr>
          <w:rFonts w:ascii="Times New Roman" w:hAnsi="Times New Roman" w:cs="Times New Roman"/>
          <w:bCs/>
          <w:sz w:val="24"/>
          <w:szCs w:val="24"/>
        </w:rPr>
        <w:t>DEA Drug Classification Schedule</w:t>
      </w:r>
      <w:r w:rsidR="00C07B5A" w:rsidRPr="00A84D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4E1" w:rsidRPr="00A84D26">
        <w:rPr>
          <w:rFonts w:ascii="Times New Roman" w:hAnsi="Times New Roman" w:cs="Times New Roman"/>
          <w:bCs/>
          <w:sz w:val="24"/>
          <w:szCs w:val="24"/>
        </w:rPr>
        <w:t xml:space="preserve">refers to the classification of the drugs, substances and certain chemicals </w:t>
      </w:r>
      <w:r w:rsidR="0067606E" w:rsidRPr="00A84D26">
        <w:rPr>
          <w:rFonts w:ascii="Times New Roman" w:hAnsi="Times New Roman" w:cs="Times New Roman"/>
          <w:bCs/>
          <w:sz w:val="24"/>
          <w:szCs w:val="24"/>
        </w:rPr>
        <w:t xml:space="preserve">into different schedules depending on their </w:t>
      </w:r>
      <w:r w:rsidR="0048335C" w:rsidRPr="00A84D26">
        <w:rPr>
          <w:rFonts w:ascii="Times New Roman" w:hAnsi="Times New Roman" w:cs="Times New Roman"/>
          <w:bCs/>
          <w:sz w:val="24"/>
          <w:szCs w:val="24"/>
        </w:rPr>
        <w:t>acceptable medical use and the drug’s dependency or abuse potential (</w:t>
      </w:r>
      <w:r w:rsidR="00815689" w:rsidRPr="00A84D26">
        <w:rPr>
          <w:rFonts w:ascii="Times New Roman" w:hAnsi="Times New Roman" w:cs="Times New Roman"/>
          <w:bCs/>
          <w:sz w:val="24"/>
          <w:szCs w:val="24"/>
        </w:rPr>
        <w:t>DEA, 2018</w:t>
      </w:r>
      <w:r w:rsidR="0048335C" w:rsidRPr="00A84D26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48335C" w:rsidRPr="00A84D26">
        <w:rPr>
          <w:rFonts w:ascii="Times New Roman" w:hAnsi="Times New Roman" w:cs="Times New Roman"/>
          <w:bCs/>
          <w:sz w:val="24"/>
          <w:szCs w:val="24"/>
        </w:rPr>
        <w:t>Schedule I drugs, substances, or chemicals</w:t>
      </w:r>
      <w:r w:rsidR="0048335C" w:rsidRPr="00A84D26">
        <w:rPr>
          <w:rFonts w:ascii="Times New Roman" w:hAnsi="Times New Roman" w:cs="Times New Roman"/>
          <w:bCs/>
          <w:sz w:val="24"/>
          <w:szCs w:val="24"/>
        </w:rPr>
        <w:t xml:space="preserve"> are identified as drugs without any acceptable medical use and </w:t>
      </w:r>
      <w:r w:rsidR="00965646" w:rsidRPr="00A84D26">
        <w:rPr>
          <w:rFonts w:ascii="Times New Roman" w:hAnsi="Times New Roman" w:cs="Times New Roman"/>
          <w:bCs/>
          <w:sz w:val="24"/>
          <w:szCs w:val="24"/>
        </w:rPr>
        <w:t>have a high potential for abuse and results in severe psychological and physical dependence (</w:t>
      </w:r>
      <w:r w:rsidR="00815689" w:rsidRPr="00A84D26">
        <w:rPr>
          <w:rFonts w:ascii="Times New Roman" w:hAnsi="Times New Roman" w:cs="Times New Roman"/>
          <w:bCs/>
          <w:sz w:val="24"/>
          <w:szCs w:val="24"/>
        </w:rPr>
        <w:t>DEA, 2018</w:t>
      </w:r>
      <w:r w:rsidR="00965646" w:rsidRPr="00A84D26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965646" w:rsidRPr="00A84D26">
        <w:rPr>
          <w:rFonts w:ascii="Times New Roman" w:hAnsi="Times New Roman" w:cs="Times New Roman"/>
          <w:bCs/>
          <w:sz w:val="24"/>
          <w:szCs w:val="24"/>
        </w:rPr>
        <w:t>Schedule II drugs, substances, or chemicals</w:t>
      </w:r>
      <w:r w:rsidR="00965646" w:rsidRPr="00A84D26">
        <w:rPr>
          <w:rFonts w:ascii="Times New Roman" w:hAnsi="Times New Roman" w:cs="Times New Roman"/>
          <w:bCs/>
          <w:sz w:val="24"/>
          <w:szCs w:val="24"/>
        </w:rPr>
        <w:t xml:space="preserve"> are drugs with an </w:t>
      </w:r>
      <w:r w:rsidR="001358EE" w:rsidRPr="00A84D26">
        <w:rPr>
          <w:rFonts w:ascii="Times New Roman" w:hAnsi="Times New Roman" w:cs="Times New Roman"/>
          <w:bCs/>
          <w:sz w:val="24"/>
          <w:szCs w:val="24"/>
        </w:rPr>
        <w:t xml:space="preserve">acceptable medical use and have a high potential for </w:t>
      </w:r>
      <w:r w:rsidR="00232C97" w:rsidRPr="00A84D26">
        <w:rPr>
          <w:rFonts w:ascii="Times New Roman" w:hAnsi="Times New Roman" w:cs="Times New Roman"/>
          <w:bCs/>
          <w:sz w:val="24"/>
          <w:szCs w:val="24"/>
        </w:rPr>
        <w:t>abu</w:t>
      </w:r>
      <w:r w:rsidR="001358EE" w:rsidRPr="00A84D26">
        <w:rPr>
          <w:rFonts w:ascii="Times New Roman" w:hAnsi="Times New Roman" w:cs="Times New Roman"/>
          <w:bCs/>
          <w:sz w:val="24"/>
          <w:szCs w:val="24"/>
        </w:rPr>
        <w:t xml:space="preserve">se resulting in </w:t>
      </w:r>
      <w:r w:rsidR="001358EE" w:rsidRPr="00A84D26">
        <w:rPr>
          <w:rFonts w:ascii="Times New Roman" w:hAnsi="Times New Roman" w:cs="Times New Roman"/>
          <w:bCs/>
          <w:sz w:val="24"/>
          <w:szCs w:val="24"/>
        </w:rPr>
        <w:t>severe psychological and physical dependence</w:t>
      </w:r>
      <w:r w:rsidR="001358EE" w:rsidRPr="00A84D2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15689" w:rsidRPr="00A84D26">
        <w:rPr>
          <w:rFonts w:ascii="Times New Roman" w:hAnsi="Times New Roman" w:cs="Times New Roman"/>
          <w:bCs/>
          <w:sz w:val="24"/>
          <w:szCs w:val="24"/>
        </w:rPr>
        <w:t>DEA, 2018</w:t>
      </w:r>
      <w:r w:rsidR="001358EE" w:rsidRPr="00A84D26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1358EE" w:rsidRPr="00A84D26">
        <w:rPr>
          <w:rFonts w:ascii="Times New Roman" w:hAnsi="Times New Roman" w:cs="Times New Roman"/>
          <w:bCs/>
          <w:sz w:val="24"/>
          <w:szCs w:val="24"/>
        </w:rPr>
        <w:t>Schedule III drugs, substances, or chemicals</w:t>
      </w:r>
      <w:r w:rsidR="001358EE" w:rsidRPr="00A84D26">
        <w:rPr>
          <w:rFonts w:ascii="Times New Roman" w:hAnsi="Times New Roman" w:cs="Times New Roman"/>
          <w:bCs/>
          <w:sz w:val="24"/>
          <w:szCs w:val="24"/>
        </w:rPr>
        <w:t xml:space="preserve"> are drugs with </w:t>
      </w:r>
      <w:r w:rsidR="00232C97" w:rsidRPr="00A84D26">
        <w:rPr>
          <w:rFonts w:ascii="Times New Roman" w:hAnsi="Times New Roman" w:cs="Times New Roman"/>
          <w:bCs/>
          <w:sz w:val="24"/>
          <w:szCs w:val="24"/>
        </w:rPr>
        <w:t xml:space="preserve">less potential for abuse and results in moderate to </w:t>
      </w:r>
      <w:r w:rsidR="000F775A" w:rsidRPr="00A84D26">
        <w:rPr>
          <w:rFonts w:ascii="Times New Roman" w:hAnsi="Times New Roman" w:cs="Times New Roman"/>
          <w:bCs/>
          <w:sz w:val="24"/>
          <w:szCs w:val="24"/>
        </w:rPr>
        <w:t xml:space="preserve">low </w:t>
      </w:r>
      <w:r w:rsidR="000F775A" w:rsidRPr="00A84D26">
        <w:rPr>
          <w:rFonts w:ascii="Times New Roman" w:hAnsi="Times New Roman" w:cs="Times New Roman"/>
          <w:bCs/>
          <w:sz w:val="24"/>
          <w:szCs w:val="24"/>
        </w:rPr>
        <w:t>psychological and physical dependence</w:t>
      </w:r>
      <w:r w:rsidR="000F775A" w:rsidRPr="00A84D2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417D7" w:rsidRPr="00A84D26">
        <w:rPr>
          <w:rFonts w:ascii="Times New Roman" w:hAnsi="Times New Roman" w:cs="Times New Roman"/>
          <w:bCs/>
          <w:sz w:val="24"/>
          <w:szCs w:val="24"/>
        </w:rPr>
        <w:t>DEA, 2018</w:t>
      </w:r>
      <w:r w:rsidR="000F775A" w:rsidRPr="00A84D26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0F775A" w:rsidRPr="00A84D26">
        <w:rPr>
          <w:rFonts w:ascii="Times New Roman" w:hAnsi="Times New Roman" w:cs="Times New Roman"/>
          <w:bCs/>
          <w:sz w:val="24"/>
          <w:szCs w:val="24"/>
        </w:rPr>
        <w:t>Schedule IV drugs, substances, or chemicals </w:t>
      </w:r>
      <w:r w:rsidR="000F775A" w:rsidRPr="00A84D26">
        <w:rPr>
          <w:rFonts w:ascii="Times New Roman" w:hAnsi="Times New Roman" w:cs="Times New Roman"/>
          <w:bCs/>
          <w:sz w:val="24"/>
          <w:szCs w:val="24"/>
        </w:rPr>
        <w:t>are drugs with low potential for abuse and low risk of dependence (</w:t>
      </w:r>
      <w:r w:rsidR="007417D7" w:rsidRPr="00A84D26">
        <w:rPr>
          <w:rFonts w:ascii="Times New Roman" w:hAnsi="Times New Roman" w:cs="Times New Roman"/>
          <w:bCs/>
          <w:sz w:val="24"/>
          <w:szCs w:val="24"/>
        </w:rPr>
        <w:t>DEA, 2018</w:t>
      </w:r>
      <w:r w:rsidR="000F775A" w:rsidRPr="00A84D26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0F775A" w:rsidRPr="00A84D26">
        <w:rPr>
          <w:rFonts w:ascii="Times New Roman" w:hAnsi="Times New Roman" w:cs="Times New Roman"/>
          <w:bCs/>
          <w:sz w:val="24"/>
          <w:szCs w:val="24"/>
        </w:rPr>
        <w:t>Schedule V drugs, substances, or chemicals</w:t>
      </w:r>
      <w:r w:rsidR="008F5F02" w:rsidRPr="00A84D26">
        <w:rPr>
          <w:rFonts w:ascii="Times New Roman" w:hAnsi="Times New Roman" w:cs="Times New Roman"/>
          <w:bCs/>
          <w:sz w:val="24"/>
          <w:szCs w:val="24"/>
        </w:rPr>
        <w:t xml:space="preserve"> are drugs with lower potential for abuse and least risk of dependence as limited quantities of narcotics are used in their preparation (</w:t>
      </w:r>
      <w:r w:rsidR="007417D7" w:rsidRPr="00A84D26">
        <w:rPr>
          <w:rFonts w:ascii="Times New Roman" w:hAnsi="Times New Roman" w:cs="Times New Roman"/>
          <w:bCs/>
          <w:sz w:val="24"/>
          <w:szCs w:val="24"/>
        </w:rPr>
        <w:t>DEA, 2018</w:t>
      </w:r>
      <w:r w:rsidR="008F5F02" w:rsidRPr="00A84D26">
        <w:rPr>
          <w:rFonts w:ascii="Times New Roman" w:hAnsi="Times New Roman" w:cs="Times New Roman"/>
          <w:bCs/>
          <w:sz w:val="24"/>
          <w:szCs w:val="24"/>
        </w:rPr>
        <w:t>).</w:t>
      </w:r>
    </w:p>
    <w:p w:rsidR="008F5F02" w:rsidRPr="00A84D26" w:rsidRDefault="008F5F02" w:rsidP="00A84D2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D26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7417D7" w:rsidRPr="00A84D26" w:rsidRDefault="007417D7" w:rsidP="00A84D2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84D26">
        <w:rPr>
          <w:rFonts w:ascii="Times New Roman" w:hAnsi="Times New Roman" w:cs="Times New Roman"/>
          <w:sz w:val="24"/>
          <w:szCs w:val="24"/>
        </w:rPr>
        <w:t>DEA. (2018). </w:t>
      </w:r>
      <w:r w:rsidRPr="00A84D26">
        <w:rPr>
          <w:rFonts w:ascii="Times New Roman" w:hAnsi="Times New Roman" w:cs="Times New Roman"/>
          <w:i/>
          <w:iCs/>
          <w:sz w:val="24"/>
          <w:szCs w:val="24"/>
        </w:rPr>
        <w:t>Drug scheduling</w:t>
      </w:r>
      <w:r w:rsidRPr="00A84D26">
        <w:rPr>
          <w:rFonts w:ascii="Times New Roman" w:hAnsi="Times New Roman" w:cs="Times New Roman"/>
          <w:sz w:val="24"/>
          <w:szCs w:val="24"/>
        </w:rPr>
        <w:t>. </w:t>
      </w:r>
      <w:r w:rsidRPr="00A84D26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4" w:history="1">
        <w:r w:rsidRPr="00A84D26">
          <w:rPr>
            <w:rStyle w:val="Hyperlink"/>
            <w:rFonts w:ascii="Times New Roman" w:hAnsi="Times New Roman" w:cs="Times New Roman"/>
            <w:sz w:val="24"/>
            <w:szCs w:val="24"/>
          </w:rPr>
          <w:t>https://www.dea.gov/drug-information/drug-scheduling#</w:t>
        </w:r>
      </w:hyperlink>
      <w:r w:rsidRPr="00A84D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7D7" w:rsidRPr="00A84D26" w:rsidRDefault="007417D7" w:rsidP="00A84D26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Gill, M. (2018). Anatomy and pathophysiology of chronic pain and the impact of hypnotherapy. </w:t>
      </w:r>
      <w:r w:rsidRPr="00A84D2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Sleep and Hypnosis. 2018l</w:t>
      </w:r>
      <w:r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84D2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85-90.</w:t>
      </w:r>
    </w:p>
    <w:p w:rsidR="007417D7" w:rsidRPr="00A84D26" w:rsidRDefault="007417D7" w:rsidP="00A84D26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Kuczynska</w:t>
      </w:r>
      <w:proofErr w:type="spellEnd"/>
      <w:r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&amp; </w:t>
      </w:r>
      <w:proofErr w:type="spellStart"/>
      <w:r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Boncler</w:t>
      </w:r>
      <w:proofErr w:type="spellEnd"/>
      <w:r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(2020). Emerging role of fentanyl in antiplatelet therapy. </w:t>
      </w:r>
      <w:r w:rsidRPr="00A84D2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Cardiovascular Pharmacology</w:t>
      </w:r>
      <w:r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84D2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76</w:t>
      </w:r>
      <w:r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267-275.</w:t>
      </w:r>
      <w:r w:rsidRPr="00A84D2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84D2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https://doi.org/10.1097/FJC.0000000000000880</w:t>
        </w:r>
      </w:hyperlink>
      <w:r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7417D7" w:rsidRPr="00A84D26" w:rsidRDefault="007417D7" w:rsidP="00A84D26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Lajam</w:t>
      </w:r>
      <w:proofErr w:type="spellEnd"/>
      <w:r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 M., </w:t>
      </w:r>
      <w:proofErr w:type="spellStart"/>
      <w:r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Cenname</w:t>
      </w:r>
      <w:proofErr w:type="spellEnd"/>
      <w:r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</w:t>
      </w:r>
      <w:proofErr w:type="spellStart"/>
      <w:r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Hutzler</w:t>
      </w:r>
      <w:proofErr w:type="spellEnd"/>
      <w:r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 H., &amp; Bosco III, J. A. (2019). Ethics of opioid prescriber regulations: physicians, patients, and pain. </w:t>
      </w:r>
      <w:r w:rsidRPr="00A84D2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JBJS</w:t>
      </w:r>
      <w:r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84D2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101</w:t>
      </w:r>
      <w:r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(23), e128.</w:t>
      </w:r>
      <w:r w:rsidRPr="00A84D26">
        <w:rPr>
          <w:rFonts w:ascii="Times New Roman" w:hAnsi="Times New Roman" w:cs="Times New Roman"/>
          <w:color w:val="3B3030"/>
          <w:sz w:val="24"/>
          <w:szCs w:val="24"/>
          <w:shd w:val="clear" w:color="auto" w:fill="FFFFFF"/>
        </w:rPr>
        <w:t xml:space="preserve"> </w:t>
      </w:r>
      <w:hyperlink r:id="rId6" w:history="1">
        <w:bookmarkStart w:id="1" w:name="_Hlk115170743"/>
        <w:r w:rsidRPr="00A84D2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</w:t>
        </w:r>
        <w:bookmarkEnd w:id="1"/>
        <w:r w:rsidRPr="00A84D2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10.2106/JBJS.19.00437</w:t>
        </w:r>
      </w:hyperlink>
      <w:r w:rsidRPr="00A84D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7417D7" w:rsidRPr="00A84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D69C7"/>
    <w:rsid w:val="00017A64"/>
    <w:rsid w:val="000B4025"/>
    <w:rsid w:val="000B6F56"/>
    <w:rsid w:val="000C03F0"/>
    <w:rsid w:val="000C6B2D"/>
    <w:rsid w:val="000F775A"/>
    <w:rsid w:val="001358EE"/>
    <w:rsid w:val="00142E15"/>
    <w:rsid w:val="00155AD6"/>
    <w:rsid w:val="001609AA"/>
    <w:rsid w:val="001856C5"/>
    <w:rsid w:val="001E1DD5"/>
    <w:rsid w:val="001E6DF5"/>
    <w:rsid w:val="00232C97"/>
    <w:rsid w:val="002530F3"/>
    <w:rsid w:val="002A44DE"/>
    <w:rsid w:val="003214E1"/>
    <w:rsid w:val="00362DEC"/>
    <w:rsid w:val="00373E24"/>
    <w:rsid w:val="003A45F4"/>
    <w:rsid w:val="003B21C7"/>
    <w:rsid w:val="00424E8E"/>
    <w:rsid w:val="0048335C"/>
    <w:rsid w:val="00484FBC"/>
    <w:rsid w:val="00494F95"/>
    <w:rsid w:val="004A5C61"/>
    <w:rsid w:val="004E2B3C"/>
    <w:rsid w:val="00584F0E"/>
    <w:rsid w:val="005B0EDB"/>
    <w:rsid w:val="006111AC"/>
    <w:rsid w:val="00613BBA"/>
    <w:rsid w:val="00646966"/>
    <w:rsid w:val="0067606E"/>
    <w:rsid w:val="007417D7"/>
    <w:rsid w:val="00771124"/>
    <w:rsid w:val="0078478C"/>
    <w:rsid w:val="007F6196"/>
    <w:rsid w:val="00805FD3"/>
    <w:rsid w:val="00807B11"/>
    <w:rsid w:val="00815689"/>
    <w:rsid w:val="00832600"/>
    <w:rsid w:val="00887E4B"/>
    <w:rsid w:val="00893B69"/>
    <w:rsid w:val="008F5F02"/>
    <w:rsid w:val="00900C37"/>
    <w:rsid w:val="009153A7"/>
    <w:rsid w:val="00965646"/>
    <w:rsid w:val="00A334CC"/>
    <w:rsid w:val="00A5304E"/>
    <w:rsid w:val="00A84D26"/>
    <w:rsid w:val="00B60727"/>
    <w:rsid w:val="00B949B9"/>
    <w:rsid w:val="00BB4BD7"/>
    <w:rsid w:val="00BD2814"/>
    <w:rsid w:val="00C07B5A"/>
    <w:rsid w:val="00C2464D"/>
    <w:rsid w:val="00C859A4"/>
    <w:rsid w:val="00CD7561"/>
    <w:rsid w:val="00CE5FE4"/>
    <w:rsid w:val="00D16CCE"/>
    <w:rsid w:val="00D213CD"/>
    <w:rsid w:val="00D27C61"/>
    <w:rsid w:val="00D337F1"/>
    <w:rsid w:val="00D6535A"/>
    <w:rsid w:val="00DB57F3"/>
    <w:rsid w:val="00DC1301"/>
    <w:rsid w:val="00DD2116"/>
    <w:rsid w:val="00E239EC"/>
    <w:rsid w:val="00E922E6"/>
    <w:rsid w:val="00EB64A2"/>
    <w:rsid w:val="00EC6C4B"/>
    <w:rsid w:val="00ED69C7"/>
    <w:rsid w:val="00FA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76CB6"/>
  <w15:chartTrackingRefBased/>
  <w15:docId w15:val="{33840E8B-8AF9-494D-8378-5068F927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45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2106/JBJS.19.00437" TargetMode="External"/><Relationship Id="rId5" Type="http://schemas.openxmlformats.org/officeDocument/2006/relationships/hyperlink" Target="https://doi.org/10.1097/FJC.0000000000000880" TargetMode="External"/><Relationship Id="rId4" Type="http://schemas.openxmlformats.org/officeDocument/2006/relationships/hyperlink" Target="https://www.dea.gov/drug-information/drug-scheduling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21</cp:revision>
  <dcterms:created xsi:type="dcterms:W3CDTF">2022-09-27T06:08:00Z</dcterms:created>
  <dcterms:modified xsi:type="dcterms:W3CDTF">2022-09-27T08:45:00Z</dcterms:modified>
</cp:coreProperties>
</file>