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5"/>
        <w:gridCol w:w="1616"/>
        <w:gridCol w:w="1409"/>
        <w:gridCol w:w="1483"/>
        <w:gridCol w:w="1810"/>
        <w:gridCol w:w="1962"/>
        <w:gridCol w:w="1909"/>
        <w:gridCol w:w="1704"/>
      </w:tblGrid>
      <w:tr w:rsidR="00DA1935" w:rsidTr="00FD4C59">
        <w:trPr>
          <w:cantSplit/>
          <w:tblHeader/>
          <w:jc w:val="center"/>
        </w:trPr>
        <w:tc>
          <w:tcPr>
            <w:tcW w:w="6144" w:type="dxa"/>
          </w:tcPr>
          <w:p w:rsidR="00C749C7" w:rsidRDefault="00C749C7" w:rsidP="006769B3">
            <w:pPr>
              <w:rPr>
                <w:b/>
                <w:bCs/>
              </w:rPr>
            </w:pPr>
            <w:r>
              <w:rPr>
                <w:b/>
                <w:bCs/>
              </w:rPr>
              <w:t>APA Reference</w:t>
            </w:r>
          </w:p>
          <w:p w:rsidR="00C749C7" w:rsidRDefault="00C749C7" w:rsidP="006769B3">
            <w:pPr>
              <w:rPr>
                <w:b/>
                <w:bCs/>
              </w:rPr>
            </w:pPr>
          </w:p>
          <w:p w:rsidR="00C749C7" w:rsidRDefault="00C749C7" w:rsidP="006769B3">
            <w:pPr>
              <w:rPr>
                <w:b/>
                <w:bCs/>
              </w:rPr>
            </w:pPr>
          </w:p>
          <w:p w:rsidR="00C749C7" w:rsidRDefault="00C749C7" w:rsidP="006769B3">
            <w:pPr>
              <w:rPr>
                <w:b/>
                <w:bCs/>
              </w:rPr>
            </w:pPr>
          </w:p>
        </w:tc>
        <w:tc>
          <w:tcPr>
            <w:tcW w:w="1651" w:type="dxa"/>
          </w:tcPr>
          <w:p w:rsidR="00C749C7" w:rsidRDefault="00E06063" w:rsidP="006769B3">
            <w:pPr>
              <w:jc w:val="center"/>
              <w:rPr>
                <w:b/>
                <w:bCs/>
              </w:rPr>
            </w:pPr>
            <w:r>
              <w:rPr>
                <w:b/>
                <w:bCs/>
              </w:rPr>
              <w:t xml:space="preserve">PICOT </w:t>
            </w:r>
            <w:r w:rsidR="00C749C7">
              <w:rPr>
                <w:b/>
                <w:bCs/>
              </w:rPr>
              <w:t>Question</w:t>
            </w:r>
          </w:p>
        </w:tc>
        <w:tc>
          <w:tcPr>
            <w:tcW w:w="1409" w:type="dxa"/>
          </w:tcPr>
          <w:p w:rsidR="00C749C7" w:rsidRDefault="00C749C7" w:rsidP="006769B3">
            <w:pPr>
              <w:jc w:val="center"/>
              <w:rPr>
                <w:b/>
                <w:bCs/>
              </w:rPr>
            </w:pPr>
            <w:r>
              <w:rPr>
                <w:b/>
                <w:bCs/>
              </w:rPr>
              <w:t>Type of Study</w:t>
            </w:r>
          </w:p>
        </w:tc>
        <w:tc>
          <w:tcPr>
            <w:tcW w:w="1326" w:type="dxa"/>
          </w:tcPr>
          <w:p w:rsidR="00C749C7" w:rsidRDefault="00C749C7" w:rsidP="006769B3">
            <w:pPr>
              <w:jc w:val="center"/>
              <w:rPr>
                <w:b/>
                <w:bCs/>
              </w:rPr>
            </w:pPr>
            <w:r>
              <w:rPr>
                <w:b/>
                <w:bCs/>
              </w:rPr>
              <w:t>Research Design</w:t>
            </w:r>
          </w:p>
        </w:tc>
        <w:tc>
          <w:tcPr>
            <w:tcW w:w="1877" w:type="dxa"/>
          </w:tcPr>
          <w:p w:rsidR="00C749C7" w:rsidRDefault="00C749C7" w:rsidP="006769B3">
            <w:pPr>
              <w:jc w:val="center"/>
              <w:rPr>
                <w:b/>
                <w:bCs/>
              </w:rPr>
            </w:pPr>
            <w:r>
              <w:rPr>
                <w:b/>
                <w:bCs/>
              </w:rPr>
              <w:t>Sample and Sample Size</w:t>
            </w:r>
          </w:p>
        </w:tc>
        <w:tc>
          <w:tcPr>
            <w:tcW w:w="1957" w:type="dxa"/>
          </w:tcPr>
          <w:p w:rsidR="00C749C7" w:rsidRDefault="00C749C7" w:rsidP="006769B3">
            <w:pPr>
              <w:pStyle w:val="Header"/>
              <w:rPr>
                <w:b/>
                <w:bCs/>
              </w:rPr>
            </w:pPr>
            <w:r>
              <w:rPr>
                <w:b/>
                <w:bCs/>
              </w:rPr>
              <w:t>Data Collection Methods</w:t>
            </w:r>
          </w:p>
        </w:tc>
        <w:tc>
          <w:tcPr>
            <w:tcW w:w="1791" w:type="dxa"/>
          </w:tcPr>
          <w:p w:rsidR="00C749C7" w:rsidRDefault="00C749C7" w:rsidP="006769B3">
            <w:pPr>
              <w:rPr>
                <w:b/>
                <w:bCs/>
              </w:rPr>
            </w:pPr>
            <w:r>
              <w:rPr>
                <w:b/>
                <w:bCs/>
              </w:rPr>
              <w:t>Key findings</w:t>
            </w:r>
          </w:p>
        </w:tc>
        <w:tc>
          <w:tcPr>
            <w:tcW w:w="1743" w:type="dxa"/>
          </w:tcPr>
          <w:p w:rsidR="00C749C7" w:rsidRDefault="00C749C7" w:rsidP="006769B3">
            <w:pPr>
              <w:rPr>
                <w:b/>
                <w:bCs/>
              </w:rPr>
            </w:pPr>
            <w:r>
              <w:rPr>
                <w:b/>
                <w:bCs/>
              </w:rPr>
              <w:t>Limitations</w:t>
            </w:r>
          </w:p>
        </w:tc>
      </w:tr>
      <w:tr w:rsidR="00DA1935" w:rsidTr="00FD4C59">
        <w:trPr>
          <w:jc w:val="center"/>
        </w:trPr>
        <w:tc>
          <w:tcPr>
            <w:tcW w:w="6144" w:type="dxa"/>
          </w:tcPr>
          <w:p w:rsidR="00C749C7" w:rsidRPr="00E06063" w:rsidRDefault="00C749C7" w:rsidP="00E06063">
            <w:pPr>
              <w:ind w:left="720" w:hanging="720"/>
            </w:pPr>
            <w:r w:rsidRPr="00375BB6">
              <w:rPr>
                <w:shd w:val="clear" w:color="auto" w:fill="FFFFFF"/>
              </w:rPr>
              <w:t xml:space="preserve">  </w:t>
            </w:r>
            <w:r w:rsidR="00E06063">
              <w:t xml:space="preserve">. </w:t>
            </w:r>
            <w:proofErr w:type="spellStart"/>
            <w:r w:rsidR="00E06063" w:rsidRPr="00816744">
              <w:t>Khatatbeh</w:t>
            </w:r>
            <w:proofErr w:type="spellEnd"/>
            <w:r w:rsidR="00E06063" w:rsidRPr="00816744">
              <w:t xml:space="preserve">, H., </w:t>
            </w:r>
            <w:proofErr w:type="spellStart"/>
            <w:r w:rsidR="00E06063" w:rsidRPr="00816744">
              <w:t>Pakai</w:t>
            </w:r>
            <w:proofErr w:type="spellEnd"/>
            <w:r w:rsidR="00E06063" w:rsidRPr="00816744">
              <w:t>, A., Al‐</w:t>
            </w:r>
            <w:proofErr w:type="spellStart"/>
            <w:r w:rsidR="00E06063" w:rsidRPr="00816744">
              <w:t>Dwaikat</w:t>
            </w:r>
            <w:proofErr w:type="spellEnd"/>
            <w:r w:rsidR="00E06063" w:rsidRPr="00816744">
              <w:t xml:space="preserve">, T., </w:t>
            </w:r>
            <w:proofErr w:type="spellStart"/>
            <w:r w:rsidR="00E06063" w:rsidRPr="00816744">
              <w:t>Onchonga</w:t>
            </w:r>
            <w:proofErr w:type="spellEnd"/>
            <w:r w:rsidR="00E06063" w:rsidRPr="00816744">
              <w:t xml:space="preserve">, D., </w:t>
            </w:r>
            <w:proofErr w:type="spellStart"/>
            <w:r w:rsidR="00E06063" w:rsidRPr="00816744">
              <w:t>Amer</w:t>
            </w:r>
            <w:proofErr w:type="spellEnd"/>
            <w:r w:rsidR="00E06063" w:rsidRPr="00816744">
              <w:t xml:space="preserve">, F., </w:t>
            </w:r>
            <w:proofErr w:type="spellStart"/>
            <w:r w:rsidR="00E06063" w:rsidRPr="00816744">
              <w:t>Prémusz</w:t>
            </w:r>
            <w:proofErr w:type="spellEnd"/>
            <w:r w:rsidR="00E06063" w:rsidRPr="00816744">
              <w:t xml:space="preserve">, V., &amp; </w:t>
            </w:r>
            <w:proofErr w:type="spellStart"/>
            <w:r w:rsidR="00E06063" w:rsidRPr="00816744">
              <w:t>Oláh</w:t>
            </w:r>
            <w:proofErr w:type="spellEnd"/>
            <w:r w:rsidR="00E06063" w:rsidRPr="00816744">
              <w:t>, A. (2021). Nurses’ burnout and quality of life: A systematic review and critical analysis of measures used. </w:t>
            </w:r>
            <w:r w:rsidR="00E06063" w:rsidRPr="00816744">
              <w:rPr>
                <w:i/>
                <w:iCs/>
              </w:rPr>
              <w:t>Nursing Open</w:t>
            </w:r>
            <w:r w:rsidR="00E06063" w:rsidRPr="00816744">
              <w:t>, </w:t>
            </w:r>
            <w:r w:rsidR="00E06063" w:rsidRPr="00816744">
              <w:rPr>
                <w:i/>
                <w:iCs/>
              </w:rPr>
              <w:t>9</w:t>
            </w:r>
            <w:r w:rsidR="00E06063" w:rsidRPr="00816744">
              <w:t>(3), 1564-1574. </w:t>
            </w:r>
            <w:hyperlink r:id="rId5" w:history="1">
              <w:r w:rsidR="00E06063" w:rsidRPr="009D6725">
                <w:rPr>
                  <w:rStyle w:val="Hyperlink"/>
                </w:rPr>
                <w:t>https://doi.org/10.1002/nop2.936</w:t>
              </w:r>
            </w:hyperlink>
          </w:p>
          <w:p w:rsidR="00C749C7" w:rsidRDefault="00C749C7" w:rsidP="004E528A"/>
        </w:tc>
        <w:tc>
          <w:tcPr>
            <w:tcW w:w="1651" w:type="dxa"/>
          </w:tcPr>
          <w:p w:rsidR="00C749C7" w:rsidRDefault="004746CC" w:rsidP="002801B0">
            <w:r>
              <w:t>What quality of life do the Nurse Practitioners live?</w:t>
            </w:r>
          </w:p>
        </w:tc>
        <w:tc>
          <w:tcPr>
            <w:tcW w:w="1409" w:type="dxa"/>
          </w:tcPr>
          <w:p w:rsidR="00DD239B" w:rsidRDefault="00DD239B" w:rsidP="004E528A">
            <w:r>
              <w:t>A qualitative study</w:t>
            </w:r>
          </w:p>
        </w:tc>
        <w:tc>
          <w:tcPr>
            <w:tcW w:w="1326" w:type="dxa"/>
          </w:tcPr>
          <w:p w:rsidR="00C749C7" w:rsidRDefault="00DD239B" w:rsidP="004E528A">
            <w:r>
              <w:t>A Cross-sectional methodology</w:t>
            </w:r>
          </w:p>
        </w:tc>
        <w:tc>
          <w:tcPr>
            <w:tcW w:w="1877" w:type="dxa"/>
          </w:tcPr>
          <w:p w:rsidR="00C749C7" w:rsidRDefault="00DD239B" w:rsidP="004E528A">
            <w:r>
              <w:t xml:space="preserve">The sample had 9,859 </w:t>
            </w:r>
            <w:r w:rsidRPr="00DD239B">
              <w:t>nurses in the 21 included studies</w:t>
            </w:r>
            <w:r>
              <w:t>.</w:t>
            </w:r>
            <w:bookmarkStart w:id="0" w:name="_GoBack"/>
            <w:bookmarkEnd w:id="0"/>
          </w:p>
        </w:tc>
        <w:tc>
          <w:tcPr>
            <w:tcW w:w="1957" w:type="dxa"/>
          </w:tcPr>
          <w:p w:rsidR="00DD239B" w:rsidRDefault="00DD239B" w:rsidP="00DD239B">
            <w:r w:rsidRPr="00DD239B">
              <w:t>Regarding the gender of participants, three studies surveyed only female nurses</w:t>
            </w:r>
            <w:r>
              <w:t>.</w:t>
            </w:r>
            <w:r w:rsidR="0037062F">
              <w:t xml:space="preserve"> </w:t>
            </w:r>
            <w:r w:rsidRPr="00DD239B">
              <w:t>Concerning the profession of participants, one of these studies compared female nurses to female doctors</w:t>
            </w:r>
            <w:r w:rsidR="0037062F">
              <w:t xml:space="preserve">. </w:t>
            </w:r>
            <w:r w:rsidR="0037062F" w:rsidRPr="0037062F">
              <w:t>Regarding the working area of the participants, four studies surveyed mental nurse</w:t>
            </w:r>
            <w:r w:rsidR="0037062F">
              <w:t xml:space="preserve">, </w:t>
            </w:r>
            <w:r w:rsidR="0037062F" w:rsidRPr="0037062F">
              <w:t>one study surveyed pediatr</w:t>
            </w:r>
            <w:r w:rsidR="0037062F">
              <w:t xml:space="preserve">ic nurses, one on emergency nurse, one on a nurse caring for Covid-19 patients and another one on </w:t>
            </w:r>
            <w:r w:rsidR="0037062F" w:rsidRPr="0037062F">
              <w:t>Neonatal Intensive Care Un</w:t>
            </w:r>
            <w:r w:rsidR="0037062F">
              <w:t>it (NICU) nurses.</w:t>
            </w:r>
          </w:p>
        </w:tc>
        <w:tc>
          <w:tcPr>
            <w:tcW w:w="1791" w:type="dxa"/>
          </w:tcPr>
          <w:p w:rsidR="00C749C7" w:rsidRDefault="0037062F" w:rsidP="004E528A">
            <w:r w:rsidRPr="0037062F">
              <w:t>The search produced 21 studies exploring nurses’ burnout and their quality of life within the last ten years (2009–2021). Most of these studies found significant relationships between the burnout dimension(s) and quality of life dimension(s) among the nurses</w:t>
            </w:r>
            <w:r>
              <w:t>. This shows that n</w:t>
            </w:r>
            <w:r w:rsidRPr="0037062F">
              <w:t>urses have moderate to high levels of burnout and were negatively associated with poor quality of lif</w:t>
            </w:r>
            <w:r>
              <w:t>e.</w:t>
            </w:r>
          </w:p>
        </w:tc>
        <w:tc>
          <w:tcPr>
            <w:tcW w:w="1743" w:type="dxa"/>
          </w:tcPr>
          <w:p w:rsidR="00C749C7" w:rsidRDefault="00C749C7" w:rsidP="004E528A"/>
        </w:tc>
      </w:tr>
      <w:tr w:rsidR="00DA1935" w:rsidTr="00FD4C59">
        <w:trPr>
          <w:jc w:val="center"/>
        </w:trPr>
        <w:tc>
          <w:tcPr>
            <w:tcW w:w="6144" w:type="dxa"/>
          </w:tcPr>
          <w:p w:rsidR="00C749C7" w:rsidRDefault="00C749C7" w:rsidP="004E528A"/>
          <w:p w:rsidR="00C749C7" w:rsidRDefault="00C749C7" w:rsidP="004E528A"/>
          <w:p w:rsidR="00FD1FBF" w:rsidRPr="000879DC" w:rsidRDefault="000879DC" w:rsidP="000879DC">
            <w:pPr>
              <w:rPr>
                <w:color w:val="000000"/>
                <w:shd w:val="clear" w:color="auto" w:fill="FFFFFF"/>
              </w:rPr>
            </w:pPr>
            <w:r w:rsidRPr="000879DC">
              <w:rPr>
                <w:color w:val="000000"/>
                <w:shd w:val="clear" w:color="auto" w:fill="FFFFFF"/>
              </w:rPr>
              <w:t xml:space="preserve">Abraham, C. M., </w:t>
            </w:r>
            <w:proofErr w:type="spellStart"/>
            <w:r w:rsidRPr="000879DC">
              <w:rPr>
                <w:color w:val="000000"/>
                <w:shd w:val="clear" w:color="auto" w:fill="FFFFFF"/>
              </w:rPr>
              <w:t>Zheng</w:t>
            </w:r>
            <w:proofErr w:type="spellEnd"/>
            <w:r w:rsidRPr="000879DC">
              <w:rPr>
                <w:color w:val="000000"/>
                <w:shd w:val="clear" w:color="auto" w:fill="FFFFFF"/>
              </w:rPr>
              <w:t xml:space="preserve">, K., </w:t>
            </w:r>
            <w:proofErr w:type="spellStart"/>
            <w:r w:rsidRPr="000879DC">
              <w:rPr>
                <w:color w:val="000000"/>
                <w:shd w:val="clear" w:color="auto" w:fill="FFFFFF"/>
              </w:rPr>
              <w:t>Norful</w:t>
            </w:r>
            <w:proofErr w:type="spellEnd"/>
            <w:r w:rsidRPr="000879DC">
              <w:rPr>
                <w:color w:val="000000"/>
                <w:shd w:val="clear" w:color="auto" w:fill="FFFFFF"/>
              </w:rPr>
              <w:t xml:space="preserve">, A. A., </w:t>
            </w:r>
            <w:proofErr w:type="spellStart"/>
            <w:r w:rsidRPr="000879DC">
              <w:rPr>
                <w:color w:val="000000"/>
                <w:shd w:val="clear" w:color="auto" w:fill="FFFFFF"/>
              </w:rPr>
              <w:t>Ghaffari</w:t>
            </w:r>
            <w:proofErr w:type="spellEnd"/>
            <w:r w:rsidRPr="000879DC">
              <w:rPr>
                <w:color w:val="000000"/>
                <w:shd w:val="clear" w:color="auto" w:fill="FFFFFF"/>
              </w:rPr>
              <w:t xml:space="preserve">, A., Liu, J., &amp; </w:t>
            </w:r>
            <w:proofErr w:type="spellStart"/>
            <w:r w:rsidRPr="000879DC">
              <w:rPr>
                <w:color w:val="000000"/>
                <w:shd w:val="clear" w:color="auto" w:fill="FFFFFF"/>
              </w:rPr>
              <w:t>Poghosyan</w:t>
            </w:r>
            <w:proofErr w:type="spellEnd"/>
            <w:r w:rsidRPr="000879DC">
              <w:rPr>
                <w:color w:val="000000"/>
                <w:shd w:val="clear" w:color="auto" w:fill="FFFFFF"/>
              </w:rPr>
              <w:t>, L. (2021). Primary care nurse practitioner burnout and perceptions of quality of care. </w:t>
            </w:r>
            <w:r w:rsidRPr="000879DC">
              <w:rPr>
                <w:i/>
                <w:iCs/>
                <w:color w:val="000000"/>
                <w:shd w:val="clear" w:color="auto" w:fill="FFFFFF"/>
              </w:rPr>
              <w:t>Nursing Forum</w:t>
            </w:r>
            <w:r w:rsidRPr="000879DC">
              <w:rPr>
                <w:color w:val="000000"/>
                <w:shd w:val="clear" w:color="auto" w:fill="FFFFFF"/>
              </w:rPr>
              <w:t>, </w:t>
            </w:r>
            <w:r w:rsidRPr="000879DC">
              <w:rPr>
                <w:i/>
                <w:iCs/>
                <w:color w:val="000000"/>
                <w:shd w:val="clear" w:color="auto" w:fill="FFFFFF"/>
              </w:rPr>
              <w:t>56</w:t>
            </w:r>
            <w:r w:rsidRPr="000879DC">
              <w:rPr>
                <w:color w:val="000000"/>
                <w:shd w:val="clear" w:color="auto" w:fill="FFFFFF"/>
              </w:rPr>
              <w:t>(3), 550-559. </w:t>
            </w:r>
            <w:hyperlink r:id="rId6" w:history="1">
              <w:r w:rsidRPr="000879DC">
                <w:rPr>
                  <w:rStyle w:val="Hyperlink"/>
                  <w:shd w:val="clear" w:color="auto" w:fill="FFFFFF"/>
                </w:rPr>
                <w:t>https://doi.org/10.1111/nuf.12579</w:t>
              </w:r>
            </w:hyperlink>
          </w:p>
        </w:tc>
        <w:tc>
          <w:tcPr>
            <w:tcW w:w="1651" w:type="dxa"/>
          </w:tcPr>
          <w:p w:rsidR="00C749C7" w:rsidRDefault="00010C76" w:rsidP="004E528A">
            <w:r>
              <w:t>What are the primary NPs burnouts and their perception of quality of care?</w:t>
            </w:r>
          </w:p>
        </w:tc>
        <w:tc>
          <w:tcPr>
            <w:tcW w:w="1409" w:type="dxa"/>
          </w:tcPr>
          <w:p w:rsidR="00C749C7" w:rsidRDefault="00C749C7" w:rsidP="004E528A">
            <w:r>
              <w:t xml:space="preserve">A </w:t>
            </w:r>
            <w:r w:rsidR="002B5EA7" w:rsidRPr="002B5EA7">
              <w:t>cross‐sectional</w:t>
            </w:r>
            <w:r w:rsidR="002B5EA7">
              <w:t xml:space="preserve"> </w:t>
            </w:r>
            <w:r>
              <w:t>qualitative study</w:t>
            </w:r>
          </w:p>
        </w:tc>
        <w:tc>
          <w:tcPr>
            <w:tcW w:w="1326" w:type="dxa"/>
          </w:tcPr>
          <w:p w:rsidR="00C749C7" w:rsidRDefault="002B5EA7" w:rsidP="004E528A">
            <w:r>
              <w:t>A qualitative</w:t>
            </w:r>
            <w:r w:rsidR="00C749C7" w:rsidRPr="007D3C6D">
              <w:t xml:space="preserve"> design</w:t>
            </w:r>
          </w:p>
        </w:tc>
        <w:tc>
          <w:tcPr>
            <w:tcW w:w="1877" w:type="dxa"/>
          </w:tcPr>
          <w:p w:rsidR="00C749C7" w:rsidRDefault="00C749C7" w:rsidP="004E528A">
            <w:r>
              <w:t xml:space="preserve"> </w:t>
            </w:r>
            <w:r w:rsidR="002B5EA7">
              <w:t>The sample and the sample size composed of survey data from 396 Nurse Practitioners.</w:t>
            </w:r>
          </w:p>
        </w:tc>
        <w:tc>
          <w:tcPr>
            <w:tcW w:w="1957" w:type="dxa"/>
          </w:tcPr>
          <w:p w:rsidR="00C749C7" w:rsidRDefault="0021355E" w:rsidP="004E528A">
            <w:r>
              <w:t xml:space="preserve">An analysis of the </w:t>
            </w:r>
            <w:r w:rsidR="002B5EA7" w:rsidRPr="002B5EA7">
              <w:t>cross‐sectional survey data from 396 NPs</w:t>
            </w:r>
            <w:r>
              <w:t xml:space="preserve"> was done. In collection and interpretation of the data, conceptual frameworks were drawn, and statistical analysis were incorporated in the study with consideration of age, race, education, sex and other related attributes crucial to the study. The </w:t>
            </w:r>
            <w:r w:rsidRPr="0021355E">
              <w:t>practice environment was measured using the Nurse Practitioner Primary Care Organizational Climate Questionnaire.</w:t>
            </w:r>
          </w:p>
        </w:tc>
        <w:tc>
          <w:tcPr>
            <w:tcW w:w="1791" w:type="dxa"/>
          </w:tcPr>
          <w:p w:rsidR="003E32F2" w:rsidRDefault="003E32F2" w:rsidP="003E32F2">
            <w:r>
              <w:t>The results revealed that 25.3% of NPs reported burnout</w:t>
            </w:r>
            <w:r w:rsidRPr="003E32F2">
              <w:t xml:space="preserve"> Odds of perceiving higher quality of care was 85% less for NPs facing burnout compared to those not experiencing burnout</w:t>
            </w:r>
            <w:r>
              <w:t>.</w:t>
            </w:r>
            <w:r w:rsidR="00010C76">
              <w:t xml:space="preserve"> </w:t>
            </w:r>
            <w:r w:rsidR="00010C76" w:rsidRPr="00010C76">
              <w:t>In the multi‐level model</w:t>
            </w:r>
            <w:r w:rsidR="00010C76">
              <w:t xml:space="preserve"> of statistical analysis</w:t>
            </w:r>
            <w:r w:rsidR="00010C76" w:rsidRPr="00010C76">
              <w:t>, NP burnout was a significant predictor of quality of care</w:t>
            </w:r>
            <w:r w:rsidR="00010C76">
              <w:t>.</w:t>
            </w:r>
          </w:p>
        </w:tc>
        <w:tc>
          <w:tcPr>
            <w:tcW w:w="1743" w:type="dxa"/>
          </w:tcPr>
          <w:p w:rsidR="00C749C7" w:rsidRDefault="00C749C7" w:rsidP="00010C76">
            <w:r>
              <w:t>One l</w:t>
            </w:r>
            <w:r w:rsidR="009365A7">
              <w:t xml:space="preserve">imitation is that </w:t>
            </w:r>
            <w:r w:rsidR="00010C76">
              <w:t>the study is requiring highly skilled personnel and necessary tools used in statistical analysis such as SPSS.</w:t>
            </w:r>
          </w:p>
        </w:tc>
      </w:tr>
      <w:tr w:rsidR="00DA1935" w:rsidTr="00FD4C59">
        <w:trPr>
          <w:jc w:val="center"/>
        </w:trPr>
        <w:tc>
          <w:tcPr>
            <w:tcW w:w="6144" w:type="dxa"/>
          </w:tcPr>
          <w:p w:rsidR="00C749C7" w:rsidRDefault="00C749C7" w:rsidP="004E528A"/>
          <w:p w:rsidR="00C749C7" w:rsidRDefault="002D46FD" w:rsidP="008B7BA5">
            <w:pPr>
              <w:spacing w:line="480" w:lineRule="auto"/>
              <w:ind w:left="720" w:hanging="720"/>
              <w:rPr>
                <w:shd w:val="clear" w:color="auto" w:fill="FFFFFF"/>
              </w:rPr>
            </w:pPr>
            <w:r w:rsidRPr="002D46FD">
              <w:rPr>
                <w:shd w:val="clear" w:color="auto" w:fill="FFFFFF"/>
              </w:rPr>
              <w:t xml:space="preserve">Buckley, L., Berta, W., </w:t>
            </w:r>
            <w:proofErr w:type="spellStart"/>
            <w:r w:rsidRPr="002D46FD">
              <w:rPr>
                <w:shd w:val="clear" w:color="auto" w:fill="FFFFFF"/>
              </w:rPr>
              <w:t>Cleverley</w:t>
            </w:r>
            <w:proofErr w:type="spellEnd"/>
            <w:r w:rsidRPr="002D46FD">
              <w:rPr>
                <w:shd w:val="clear" w:color="auto" w:fill="FFFFFF"/>
              </w:rPr>
              <w:t xml:space="preserve">, K., Medeiros, C., &amp; </w:t>
            </w:r>
            <w:proofErr w:type="spellStart"/>
            <w:r w:rsidRPr="002D46FD">
              <w:rPr>
                <w:shd w:val="clear" w:color="auto" w:fill="FFFFFF"/>
              </w:rPr>
              <w:t>Widger</w:t>
            </w:r>
            <w:proofErr w:type="spellEnd"/>
            <w:r w:rsidRPr="002D46FD">
              <w:rPr>
                <w:shd w:val="clear" w:color="auto" w:fill="FFFFFF"/>
              </w:rPr>
              <w:t xml:space="preserve">, K. (2020). What is known about </w:t>
            </w:r>
            <w:proofErr w:type="spellStart"/>
            <w:r w:rsidRPr="002D46FD">
              <w:rPr>
                <w:shd w:val="clear" w:color="auto" w:fill="FFFFFF"/>
              </w:rPr>
              <w:t>paediatric</w:t>
            </w:r>
            <w:proofErr w:type="spellEnd"/>
            <w:r w:rsidRPr="002D46FD">
              <w:rPr>
                <w:shd w:val="clear" w:color="auto" w:fill="FFFFFF"/>
              </w:rPr>
              <w:t xml:space="preserve"> nurse burnout: A scoping </w:t>
            </w:r>
            <w:proofErr w:type="gramStart"/>
            <w:r w:rsidRPr="002D46FD">
              <w:rPr>
                <w:shd w:val="clear" w:color="auto" w:fill="FFFFFF"/>
              </w:rPr>
              <w:t>review.</w:t>
            </w:r>
            <w:proofErr w:type="gramEnd"/>
            <w:r w:rsidRPr="002D46FD">
              <w:rPr>
                <w:shd w:val="clear" w:color="auto" w:fill="FFFFFF"/>
              </w:rPr>
              <w:t> </w:t>
            </w:r>
            <w:r w:rsidRPr="002D46FD">
              <w:rPr>
                <w:i/>
                <w:iCs/>
                <w:shd w:val="clear" w:color="auto" w:fill="FFFFFF"/>
              </w:rPr>
              <w:t>Human Resources for Health</w:t>
            </w:r>
            <w:r w:rsidRPr="002D46FD">
              <w:rPr>
                <w:shd w:val="clear" w:color="auto" w:fill="FFFFFF"/>
              </w:rPr>
              <w:t>, </w:t>
            </w:r>
            <w:r w:rsidRPr="002D46FD">
              <w:rPr>
                <w:i/>
                <w:iCs/>
                <w:shd w:val="clear" w:color="auto" w:fill="FFFFFF"/>
              </w:rPr>
              <w:t>18</w:t>
            </w:r>
            <w:r w:rsidRPr="002D46FD">
              <w:rPr>
                <w:shd w:val="clear" w:color="auto" w:fill="FFFFFF"/>
              </w:rPr>
              <w:t>(1). </w:t>
            </w:r>
            <w:hyperlink r:id="rId7" w:history="1">
              <w:r w:rsidR="003A28EC" w:rsidRPr="009D6725">
                <w:rPr>
                  <w:rStyle w:val="Hyperlink"/>
                  <w:shd w:val="clear" w:color="auto" w:fill="FFFFFF"/>
                </w:rPr>
                <w:t>https://doi.org/10.1186/s12960-020-0451-8</w:t>
              </w:r>
            </w:hyperlink>
          </w:p>
          <w:p w:rsidR="003A28EC" w:rsidRPr="000B1C89" w:rsidRDefault="003A28EC" w:rsidP="008B7BA5">
            <w:pPr>
              <w:spacing w:line="480" w:lineRule="auto"/>
              <w:ind w:left="720" w:hanging="720"/>
              <w:rPr>
                <w:shd w:val="clear" w:color="auto" w:fill="FFFFFF"/>
              </w:rPr>
            </w:pPr>
          </w:p>
          <w:p w:rsidR="00C749C7" w:rsidRDefault="00C749C7" w:rsidP="004E528A"/>
        </w:tc>
        <w:tc>
          <w:tcPr>
            <w:tcW w:w="1651" w:type="dxa"/>
          </w:tcPr>
          <w:p w:rsidR="00C749C7" w:rsidRDefault="00877C21" w:rsidP="004E528A">
            <w:r>
              <w:t xml:space="preserve">What do we know about </w:t>
            </w:r>
            <w:r w:rsidR="00820A07" w:rsidRPr="00877C21">
              <w:t>pediatric</w:t>
            </w:r>
            <w:r w:rsidRPr="00877C21">
              <w:t xml:space="preserve"> nurse burnout</w:t>
            </w:r>
            <w:r>
              <w:t>s?</w:t>
            </w:r>
          </w:p>
        </w:tc>
        <w:tc>
          <w:tcPr>
            <w:tcW w:w="1409" w:type="dxa"/>
          </w:tcPr>
          <w:p w:rsidR="00C749C7" w:rsidRDefault="00877C21" w:rsidP="00877C21">
            <w:r>
              <w:t>A qualitative, quantitative, and mixed-method study</w:t>
            </w:r>
          </w:p>
        </w:tc>
        <w:tc>
          <w:tcPr>
            <w:tcW w:w="1326" w:type="dxa"/>
          </w:tcPr>
          <w:p w:rsidR="00C749C7" w:rsidRDefault="00877C21" w:rsidP="004E528A">
            <w:r>
              <w:t>A</w:t>
            </w:r>
            <w:r w:rsidR="009365A7">
              <w:t xml:space="preserve"> Cross-sectional design</w:t>
            </w:r>
          </w:p>
        </w:tc>
        <w:tc>
          <w:tcPr>
            <w:tcW w:w="1877" w:type="dxa"/>
          </w:tcPr>
          <w:p w:rsidR="00C749C7" w:rsidRDefault="002A0CF4" w:rsidP="002A0CF4">
            <w:r>
              <w:t xml:space="preserve">The </w:t>
            </w:r>
            <w:r w:rsidRPr="002A0CF4">
              <w:t>protocol was registered on Open Science Framework</w:t>
            </w:r>
            <w:r>
              <w:t xml:space="preserve"> to allow researchers </w:t>
            </w:r>
            <w:r w:rsidR="00834606">
              <w:t xml:space="preserve">to </w:t>
            </w:r>
            <w:r>
              <w:t xml:space="preserve">access </w:t>
            </w:r>
            <w:r w:rsidR="00834606">
              <w:t>the database and retrieve the information required in their study.</w:t>
            </w:r>
            <w:r w:rsidR="009365A7" w:rsidRPr="009365A7">
              <w:t xml:space="preserve"> The </w:t>
            </w:r>
            <w:r w:rsidR="009365A7">
              <w:t xml:space="preserve">free willing </w:t>
            </w:r>
            <w:r w:rsidR="009365A7" w:rsidRPr="009365A7">
              <w:t>pediatric nurses who participated as either a primary or sub-sample ranged from five to 3710</w:t>
            </w:r>
            <w:r w:rsidR="009365A7">
              <w:t>.</w:t>
            </w:r>
          </w:p>
        </w:tc>
        <w:tc>
          <w:tcPr>
            <w:tcW w:w="1957" w:type="dxa"/>
          </w:tcPr>
          <w:p w:rsidR="00C749C7" w:rsidRDefault="00B51694" w:rsidP="00F63464">
            <w:r>
              <w:t xml:space="preserve">The </w:t>
            </w:r>
            <w:r w:rsidRPr="00B51694">
              <w:t xml:space="preserve">degree of burnout </w:t>
            </w:r>
            <w:r>
              <w:t xml:space="preserve">was registered </w:t>
            </w:r>
            <w:r w:rsidRPr="00B51694">
              <w:t>in pediatric nurses using self</w:t>
            </w:r>
            <w:r>
              <w:t>-</w:t>
            </w:r>
            <w:r w:rsidRPr="00B51694">
              <w:t>identification or self-report assessment tool</w:t>
            </w:r>
            <w:r>
              <w:t>. The information was also retrieved from the database in consultation with an experienced librarian.</w:t>
            </w:r>
            <w:r w:rsidR="00E06063" w:rsidRPr="00E06063">
              <w:t xml:space="preserve"> All citations retrieved from the databases were uploaded into Endnote with duplicat</w:t>
            </w:r>
            <w:r w:rsidR="00E06063">
              <w:t>es removed as per protocol.</w:t>
            </w:r>
            <w:r w:rsidR="00E06063" w:rsidRPr="00E06063">
              <w:t xml:space="preserve"> The remaining citations were</w:t>
            </w:r>
            <w:r w:rsidR="00E06063">
              <w:t xml:space="preserve"> uploaded </w:t>
            </w:r>
            <w:r w:rsidR="00E06063" w:rsidRPr="00E06063">
              <w:t xml:space="preserve">for review by the research team (LB, CM, </w:t>
            </w:r>
            <w:r w:rsidR="00941018" w:rsidRPr="00E06063">
              <w:t>and KW</w:t>
            </w:r>
            <w:r w:rsidR="00E06063">
              <w:t>)</w:t>
            </w:r>
            <w:r w:rsidR="00517C90">
              <w:t>.</w:t>
            </w:r>
            <w:r w:rsidR="00517C90" w:rsidRPr="00517C90">
              <w:t xml:space="preserve"> </w:t>
            </w:r>
            <w:r w:rsidR="00517C90">
              <w:t>Data</w:t>
            </w:r>
            <w:r w:rsidR="00517C90" w:rsidRPr="00517C90">
              <w:t xml:space="preserve"> extra</w:t>
            </w:r>
            <w:r w:rsidR="00517C90">
              <w:t xml:space="preserve">cted from included articles were </w:t>
            </w:r>
            <w:r w:rsidR="00517C90" w:rsidRPr="00517C90">
              <w:t>entered into a Microsoft Excel spreadsheet. Extraction was performed by one researcher (LB</w:t>
            </w:r>
            <w:r w:rsidR="00517C90">
              <w:t>) for the purpose of data charting. The data was later synthesized after completeness.</w:t>
            </w:r>
          </w:p>
        </w:tc>
        <w:tc>
          <w:tcPr>
            <w:tcW w:w="1791" w:type="dxa"/>
          </w:tcPr>
          <w:p w:rsidR="00C749C7" w:rsidRDefault="009365A7" w:rsidP="00B51694">
            <w:r>
              <w:t xml:space="preserve">Out of the </w:t>
            </w:r>
            <w:r w:rsidRPr="009365A7">
              <w:t>53 studies</w:t>
            </w:r>
            <w:r>
              <w:t xml:space="preserve"> that</w:t>
            </w:r>
            <w:r w:rsidRPr="009365A7">
              <w:t xml:space="preserve"> used the MBI, 34 reported on the Emotional Exhaustion subscale with 24 reporting raw scores</w:t>
            </w:r>
            <w:r>
              <w:t>.</w:t>
            </w:r>
          </w:p>
        </w:tc>
        <w:tc>
          <w:tcPr>
            <w:tcW w:w="1743" w:type="dxa"/>
          </w:tcPr>
          <w:p w:rsidR="00C749C7" w:rsidRDefault="00941018" w:rsidP="004E528A">
            <w:r w:rsidRPr="00941018">
              <w:t>Although all of the included studies measured burnout using a self-report assessment tool or binary self</w:t>
            </w:r>
            <w:r>
              <w:t>-</w:t>
            </w:r>
            <w:r w:rsidRPr="00941018">
              <w:t>identification, only 65 reported burnout scores for a sample of pediatric nurses</w:t>
            </w:r>
            <w:r>
              <w:t>.</w:t>
            </w:r>
          </w:p>
        </w:tc>
      </w:tr>
      <w:tr w:rsidR="00DA1935" w:rsidTr="00FD4C59">
        <w:trPr>
          <w:jc w:val="center"/>
        </w:trPr>
        <w:tc>
          <w:tcPr>
            <w:tcW w:w="6144" w:type="dxa"/>
          </w:tcPr>
          <w:p w:rsidR="00C749C7" w:rsidRDefault="00C749C7" w:rsidP="004E528A"/>
          <w:p w:rsidR="00C749C7" w:rsidRDefault="00A97F12" w:rsidP="004E528A">
            <w:proofErr w:type="spellStart"/>
            <w:r w:rsidRPr="00A97F12">
              <w:t>Kapu</w:t>
            </w:r>
            <w:proofErr w:type="spellEnd"/>
            <w:r w:rsidRPr="00A97F12">
              <w:t xml:space="preserve">, April N.; Borg Card, Elizabeth; Jackson, Heather; </w:t>
            </w:r>
            <w:proofErr w:type="spellStart"/>
            <w:r w:rsidRPr="00A97F12">
              <w:t>Kleinpell</w:t>
            </w:r>
            <w:proofErr w:type="spellEnd"/>
            <w:r w:rsidRPr="00A97F12">
              <w:t xml:space="preserve">, Ruth; Kendall, Jim; </w:t>
            </w:r>
            <w:proofErr w:type="spellStart"/>
            <w:r w:rsidRPr="00A97F12">
              <w:t>Lupear</w:t>
            </w:r>
            <w:proofErr w:type="spellEnd"/>
            <w:r w:rsidRPr="00A97F12">
              <w:t xml:space="preserve">, Buffy </w:t>
            </w:r>
            <w:proofErr w:type="spellStart"/>
            <w:r w:rsidRPr="00A97F12">
              <w:t>Krauser</w:t>
            </w:r>
            <w:proofErr w:type="spellEnd"/>
            <w:r w:rsidRPr="00A97F12">
              <w:t xml:space="preserve">; </w:t>
            </w:r>
            <w:proofErr w:type="spellStart"/>
            <w:r w:rsidRPr="00A97F12">
              <w:t>LeBar</w:t>
            </w:r>
            <w:proofErr w:type="spellEnd"/>
            <w:r w:rsidRPr="00A97F12">
              <w:t xml:space="preserve">, </w:t>
            </w:r>
            <w:proofErr w:type="spellStart"/>
            <w:r w:rsidRPr="00A97F12">
              <w:t>Kiersten</w:t>
            </w:r>
            <w:proofErr w:type="spellEnd"/>
            <w:r w:rsidRPr="00A97F12">
              <w:t xml:space="preserve">; Dietrich, Mary S.; Araya, Wendy A.; </w:t>
            </w:r>
            <w:proofErr w:type="spellStart"/>
            <w:r w:rsidRPr="00A97F12">
              <w:t>Delle</w:t>
            </w:r>
            <w:proofErr w:type="spellEnd"/>
            <w:r w:rsidRPr="00A97F12">
              <w:t xml:space="preserve">, Janelle; Payne, Kate; Ford, </w:t>
            </w:r>
            <w:proofErr w:type="spellStart"/>
            <w:r w:rsidRPr="00A97F12">
              <w:t>Jaquelyn</w:t>
            </w:r>
            <w:proofErr w:type="spellEnd"/>
            <w:r w:rsidRPr="00A97F12">
              <w:t xml:space="preserve">; </w:t>
            </w:r>
            <w:proofErr w:type="spellStart"/>
            <w:r w:rsidRPr="00A97F12">
              <w:t>Dubree</w:t>
            </w:r>
            <w:proofErr w:type="spellEnd"/>
            <w:r w:rsidRPr="00A97F12">
              <w:t>, Marilyn. (2021). Assessing and addressing practitioner burnout: Results from an advanced practice registered nurse health and well-being study. </w:t>
            </w:r>
            <w:r w:rsidRPr="00A97F12">
              <w:rPr>
                <w:i/>
                <w:iCs/>
              </w:rPr>
              <w:t>Journal of the American Association of Nurse Practitioners</w:t>
            </w:r>
            <w:r w:rsidRPr="00A97F12">
              <w:t>, </w:t>
            </w:r>
            <w:r w:rsidRPr="00A97F12">
              <w:rPr>
                <w:i/>
                <w:iCs/>
              </w:rPr>
              <w:t>33</w:t>
            </w:r>
            <w:r w:rsidRPr="00A97F12">
              <w:t>(1), 49-50. </w:t>
            </w:r>
            <w:hyperlink r:id="rId8" w:history="1">
              <w:r w:rsidRPr="009D6725">
                <w:rPr>
                  <w:rStyle w:val="Hyperlink"/>
                </w:rPr>
                <w:t>https://doi.org/10.1097/jxx.0000000000000571</w:t>
              </w:r>
            </w:hyperlink>
          </w:p>
          <w:p w:rsidR="00A97F12" w:rsidRDefault="00A97F12" w:rsidP="004E528A"/>
          <w:p w:rsidR="00C749C7" w:rsidRPr="000B1C89" w:rsidRDefault="00C749C7" w:rsidP="008B7BA5">
            <w:pPr>
              <w:suppressAutoHyphens/>
              <w:autoSpaceDN w:val="0"/>
              <w:spacing w:line="480" w:lineRule="auto"/>
              <w:ind w:left="720" w:hanging="720"/>
              <w:textAlignment w:val="baseline"/>
              <w:rPr>
                <w:rFonts w:eastAsia="SimSun"/>
                <w:kern w:val="3"/>
                <w:lang w:eastAsia="zh-CN"/>
              </w:rPr>
            </w:pPr>
            <w:r>
              <w:rPr>
                <w:rFonts w:eastAsia="SimSun"/>
                <w:kern w:val="3"/>
                <w:lang w:eastAsia="zh-CN"/>
              </w:rPr>
              <w:t xml:space="preserve"> </w:t>
            </w:r>
          </w:p>
          <w:p w:rsidR="00C749C7" w:rsidRDefault="00C749C7" w:rsidP="004E528A"/>
        </w:tc>
        <w:tc>
          <w:tcPr>
            <w:tcW w:w="1651" w:type="dxa"/>
          </w:tcPr>
          <w:p w:rsidR="00C749C7" w:rsidRDefault="00820A07" w:rsidP="004E528A">
            <w:r>
              <w:t xml:space="preserve">What is the prevalence and impact of APRNs </w:t>
            </w:r>
            <w:proofErr w:type="gramStart"/>
            <w:r>
              <w:t>burnout ?</w:t>
            </w:r>
            <w:proofErr w:type="gramEnd"/>
          </w:p>
        </w:tc>
        <w:tc>
          <w:tcPr>
            <w:tcW w:w="1409" w:type="dxa"/>
          </w:tcPr>
          <w:p w:rsidR="00C749C7" w:rsidRDefault="003654BB" w:rsidP="004E528A">
            <w:r>
              <w:t>A qualitative study</w:t>
            </w:r>
          </w:p>
        </w:tc>
        <w:tc>
          <w:tcPr>
            <w:tcW w:w="1326" w:type="dxa"/>
          </w:tcPr>
          <w:p w:rsidR="00C749C7" w:rsidRDefault="009365A7" w:rsidP="004E528A">
            <w:r w:rsidRPr="009365A7">
              <w:t>A cross-sectional, mixed methods design</w:t>
            </w:r>
          </w:p>
        </w:tc>
        <w:tc>
          <w:tcPr>
            <w:tcW w:w="1877" w:type="dxa"/>
          </w:tcPr>
          <w:p w:rsidR="00C749C7" w:rsidRDefault="00ED1A7C" w:rsidP="004E528A">
            <w:r>
              <w:t xml:space="preserve">A </w:t>
            </w:r>
            <w:r w:rsidRPr="00ED1A7C">
              <w:t>78-question survey was sent to 1,014</w:t>
            </w:r>
            <w:r>
              <w:t xml:space="preserve"> nurses, APRNs and PAs</w:t>
            </w:r>
          </w:p>
        </w:tc>
        <w:tc>
          <w:tcPr>
            <w:tcW w:w="1957" w:type="dxa"/>
          </w:tcPr>
          <w:p w:rsidR="00C749C7" w:rsidRDefault="00ED1A7C" w:rsidP="004E528A">
            <w:r>
              <w:t>The</w:t>
            </w:r>
            <w:r w:rsidRPr="00ED1A7C">
              <w:t xml:space="preserve"> 78-question survey was sent to 1,014 APRNs (94%) and PAs (6%), with a 43.6% response rate (n = 433); 76.4% were nurse practitioners.</w:t>
            </w:r>
          </w:p>
        </w:tc>
        <w:tc>
          <w:tcPr>
            <w:tcW w:w="1791" w:type="dxa"/>
          </w:tcPr>
          <w:p w:rsidR="00C749C7" w:rsidRDefault="003654BB" w:rsidP="004E528A">
            <w:r>
              <w:t xml:space="preserve">The results showed that NPs </w:t>
            </w:r>
            <w:r w:rsidRPr="003654BB">
              <w:t>report experiencing burnout at different times in their care</w:t>
            </w:r>
            <w:r>
              <w:t xml:space="preserve">er. Some </w:t>
            </w:r>
            <w:r w:rsidRPr="003654BB">
              <w:t>participants</w:t>
            </w:r>
            <w:r>
              <w:t xml:space="preserve"> recommended ways to</w:t>
            </w:r>
            <w:r w:rsidRPr="003654BB">
              <w:t xml:space="preserve"> mitigate burnout </w:t>
            </w:r>
            <w:r>
              <w:t>which were;</w:t>
            </w:r>
            <w:r w:rsidRPr="003654BB">
              <w:t xml:space="preserve"> self-care, organizational promotion of health and well-being, </w:t>
            </w:r>
            <w:r>
              <w:t>career development, and support from their leaders.</w:t>
            </w:r>
          </w:p>
        </w:tc>
        <w:tc>
          <w:tcPr>
            <w:tcW w:w="1743" w:type="dxa"/>
          </w:tcPr>
          <w:p w:rsidR="00C749C7" w:rsidRDefault="00C749C7" w:rsidP="004E528A"/>
        </w:tc>
      </w:tr>
      <w:tr w:rsidR="00DA1935" w:rsidTr="00FD4C59">
        <w:trPr>
          <w:jc w:val="center"/>
        </w:trPr>
        <w:tc>
          <w:tcPr>
            <w:tcW w:w="6144" w:type="dxa"/>
          </w:tcPr>
          <w:p w:rsidR="00C749C7" w:rsidRDefault="001C4682" w:rsidP="004E528A">
            <w:proofErr w:type="spellStart"/>
            <w:r w:rsidRPr="001C4682">
              <w:t>Agarwal</w:t>
            </w:r>
            <w:proofErr w:type="spellEnd"/>
            <w:r w:rsidRPr="001C4682">
              <w:t xml:space="preserve">, S. D., </w:t>
            </w:r>
            <w:proofErr w:type="spellStart"/>
            <w:r w:rsidRPr="001C4682">
              <w:t>Pabo</w:t>
            </w:r>
            <w:proofErr w:type="spellEnd"/>
            <w:r w:rsidRPr="001C4682">
              <w:t xml:space="preserve">, E., </w:t>
            </w:r>
            <w:proofErr w:type="spellStart"/>
            <w:r w:rsidRPr="001C4682">
              <w:t>Rozenblum</w:t>
            </w:r>
            <w:proofErr w:type="spellEnd"/>
            <w:r w:rsidRPr="001C4682">
              <w:t xml:space="preserve">, R., &amp; </w:t>
            </w:r>
            <w:proofErr w:type="spellStart"/>
            <w:r w:rsidRPr="001C4682">
              <w:t>Sherritt</w:t>
            </w:r>
            <w:proofErr w:type="spellEnd"/>
            <w:r w:rsidRPr="001C4682">
              <w:t>, K. M. (2020). Professional dissonance and burnout in primary care. </w:t>
            </w:r>
            <w:r w:rsidRPr="001C4682">
              <w:rPr>
                <w:i/>
                <w:iCs/>
              </w:rPr>
              <w:t>JAMA Internal Medicine</w:t>
            </w:r>
            <w:r w:rsidRPr="001C4682">
              <w:t>, </w:t>
            </w:r>
            <w:r w:rsidRPr="001C4682">
              <w:rPr>
                <w:i/>
                <w:iCs/>
              </w:rPr>
              <w:t>180</w:t>
            </w:r>
            <w:r w:rsidRPr="001C4682">
              <w:t>(3), 395. </w:t>
            </w:r>
            <w:hyperlink r:id="rId9" w:history="1">
              <w:r w:rsidRPr="009E5B6F">
                <w:rPr>
                  <w:rStyle w:val="Hyperlink"/>
                </w:rPr>
                <w:t>https://doi.org/10.1001/jamainternmed.2019.6326</w:t>
              </w:r>
            </w:hyperlink>
          </w:p>
          <w:p w:rsidR="001C4682" w:rsidRDefault="001C4682" w:rsidP="004E528A"/>
          <w:p w:rsidR="00090F39" w:rsidRDefault="00090F39" w:rsidP="00F50A3C">
            <w:pPr>
              <w:ind w:left="720" w:hanging="720"/>
            </w:pPr>
          </w:p>
        </w:tc>
        <w:tc>
          <w:tcPr>
            <w:tcW w:w="1651" w:type="dxa"/>
          </w:tcPr>
          <w:p w:rsidR="00C749C7" w:rsidRPr="009A21DB" w:rsidRDefault="001C4682" w:rsidP="009A21DB">
            <w:r>
              <w:t xml:space="preserve">What are the </w:t>
            </w:r>
            <w:r w:rsidRPr="001C4682">
              <w:t>factors contributing to burnout and low professional fulfillment</w:t>
            </w:r>
            <w:r>
              <w:t>?</w:t>
            </w:r>
          </w:p>
        </w:tc>
        <w:tc>
          <w:tcPr>
            <w:tcW w:w="1409" w:type="dxa"/>
          </w:tcPr>
          <w:p w:rsidR="00C749C7" w:rsidRDefault="001C4682" w:rsidP="004E528A">
            <w:r>
              <w:t xml:space="preserve">A </w:t>
            </w:r>
            <w:r w:rsidRPr="001C4682">
              <w:t>qualitative study</w:t>
            </w:r>
          </w:p>
        </w:tc>
        <w:tc>
          <w:tcPr>
            <w:tcW w:w="1326" w:type="dxa"/>
          </w:tcPr>
          <w:p w:rsidR="00C749C7" w:rsidRDefault="001C4682" w:rsidP="004E528A">
            <w:r>
              <w:t>A qualitative design</w:t>
            </w:r>
          </w:p>
        </w:tc>
        <w:tc>
          <w:tcPr>
            <w:tcW w:w="1877" w:type="dxa"/>
          </w:tcPr>
          <w:p w:rsidR="00C749C7" w:rsidRDefault="001C4682" w:rsidP="004E528A">
            <w:r w:rsidRPr="001C4682">
              <w:t>6 PCPs (physicians, nurse practitioners, and physician assistants) at a US academic medical center with a network of 15 primary care clinics</w:t>
            </w:r>
            <w:r>
              <w:t>.</w:t>
            </w:r>
          </w:p>
        </w:tc>
        <w:tc>
          <w:tcPr>
            <w:tcW w:w="1957" w:type="dxa"/>
          </w:tcPr>
          <w:p w:rsidR="00C749C7" w:rsidRDefault="00E82988" w:rsidP="004E528A">
            <w:r>
              <w:t>D</w:t>
            </w:r>
            <w:r w:rsidRPr="00E82988">
              <w:t>iscussions and interviews were conducted between February 1 and April 30, 2018, among 26 PCPs (physicians, nurse practitioners, and physician assistants) at a US academic medical center</w:t>
            </w:r>
            <w:r>
              <w:t xml:space="preserve"> whereby the participants were asked </w:t>
            </w:r>
            <w:proofErr w:type="spellStart"/>
            <w:r w:rsidRPr="00E82988">
              <w:t>t</w:t>
            </w:r>
            <w:proofErr w:type="spellEnd"/>
            <w:r w:rsidRPr="00E82988">
              <w:t xml:space="preserve"> factors contributing to burnout and barriers to professional fulfillment as well as potential solutions related to workplace culture and efficiency, work-life balance, and resilience</w:t>
            </w:r>
          </w:p>
        </w:tc>
        <w:tc>
          <w:tcPr>
            <w:tcW w:w="1791" w:type="dxa"/>
          </w:tcPr>
          <w:p w:rsidR="00C749C7" w:rsidRDefault="003C2D7D" w:rsidP="00B51694">
            <w:r>
              <w:t>Of the 26 PCPs some p</w:t>
            </w:r>
            <w:r w:rsidRPr="001C4682">
              <w:t>articipants described their workloads as excessively heavy, increasingly involving less “doctor” work and more “office” work, and reflecting unreasonable expectations.</w:t>
            </w:r>
            <w:r>
              <w:t xml:space="preserve"> </w:t>
            </w:r>
            <w:r w:rsidRPr="001C4682">
              <w:t>They felt demoralized by work conditions, undervalued by local institutions and the health care system, and conflicted in their daily work</w:t>
            </w:r>
            <w:r>
              <w:t>.</w:t>
            </w:r>
            <w:r>
              <w:t xml:space="preserve"> </w:t>
            </w:r>
            <w:r>
              <w:t>They portrayed</w:t>
            </w:r>
            <w:r>
              <w:t xml:space="preserve"> </w:t>
            </w:r>
            <w:r w:rsidRPr="003C2D7D">
              <w:t>discomfort from working in a system that seems to hold values counter to their values</w:t>
            </w:r>
            <w:r>
              <w:t>.</w:t>
            </w:r>
          </w:p>
        </w:tc>
        <w:tc>
          <w:tcPr>
            <w:tcW w:w="1743" w:type="dxa"/>
          </w:tcPr>
          <w:p w:rsidR="00C749C7" w:rsidRDefault="00C749C7" w:rsidP="007C363B"/>
        </w:tc>
      </w:tr>
      <w:tr w:rsidR="00DA1935" w:rsidTr="00FD4C59">
        <w:trPr>
          <w:cantSplit/>
          <w:jc w:val="center"/>
        </w:trPr>
        <w:tc>
          <w:tcPr>
            <w:tcW w:w="6144" w:type="dxa"/>
          </w:tcPr>
          <w:p w:rsidR="00C749C7" w:rsidRDefault="00C749C7" w:rsidP="004E528A"/>
          <w:p w:rsidR="00C749C7" w:rsidRDefault="008F0D1F" w:rsidP="008F0D1F">
            <w:pPr>
              <w:spacing w:line="480" w:lineRule="auto"/>
              <w:ind w:left="720" w:hanging="720"/>
            </w:pPr>
            <w:proofErr w:type="spellStart"/>
            <w:r w:rsidRPr="008F0D1F">
              <w:t>Dall’Ora</w:t>
            </w:r>
            <w:proofErr w:type="spellEnd"/>
            <w:r w:rsidRPr="008F0D1F">
              <w:t xml:space="preserve">, C., Ball, J., </w:t>
            </w:r>
            <w:proofErr w:type="spellStart"/>
            <w:r w:rsidRPr="008F0D1F">
              <w:t>Reinius</w:t>
            </w:r>
            <w:proofErr w:type="spellEnd"/>
            <w:r w:rsidRPr="008F0D1F">
              <w:t>, M., &amp; Griffiths, P. (2020). Burnout in nursing: A theoretical review. </w:t>
            </w:r>
            <w:r w:rsidRPr="008F0D1F">
              <w:rPr>
                <w:i/>
                <w:iCs/>
              </w:rPr>
              <w:t>Human Resources for Health</w:t>
            </w:r>
            <w:r w:rsidRPr="008F0D1F">
              <w:t>, </w:t>
            </w:r>
            <w:r w:rsidRPr="008F0D1F">
              <w:rPr>
                <w:i/>
                <w:iCs/>
              </w:rPr>
              <w:t>18</w:t>
            </w:r>
            <w:r w:rsidRPr="008F0D1F">
              <w:t>(1). </w:t>
            </w:r>
            <w:hyperlink r:id="rId10" w:history="1">
              <w:r w:rsidRPr="009D6725">
                <w:rPr>
                  <w:rStyle w:val="Hyperlink"/>
                </w:rPr>
                <w:t>https://doi.org/10.1186/s12960-020-00469-9</w:t>
              </w:r>
            </w:hyperlink>
          </w:p>
          <w:p w:rsidR="008F0D1F" w:rsidRDefault="008F0D1F" w:rsidP="008F0D1F">
            <w:pPr>
              <w:spacing w:line="480" w:lineRule="auto"/>
              <w:ind w:left="720" w:hanging="720"/>
            </w:pPr>
          </w:p>
        </w:tc>
        <w:tc>
          <w:tcPr>
            <w:tcW w:w="1651" w:type="dxa"/>
          </w:tcPr>
          <w:p w:rsidR="00C749C7" w:rsidRDefault="00573801" w:rsidP="004E528A">
            <w:r>
              <w:t>Give a theoretical review of burnout in nursing</w:t>
            </w:r>
          </w:p>
        </w:tc>
        <w:tc>
          <w:tcPr>
            <w:tcW w:w="1409" w:type="dxa"/>
          </w:tcPr>
          <w:p w:rsidR="00C749C7" w:rsidRDefault="00632E47" w:rsidP="00632E47">
            <w:r>
              <w:t xml:space="preserve">A </w:t>
            </w:r>
            <w:r w:rsidRPr="00632E47">
              <w:t>quantitative primary empirical studies</w:t>
            </w:r>
          </w:p>
        </w:tc>
        <w:tc>
          <w:tcPr>
            <w:tcW w:w="1326" w:type="dxa"/>
          </w:tcPr>
          <w:p w:rsidR="00C749C7" w:rsidRDefault="00632E47" w:rsidP="004E528A">
            <w:r>
              <w:t xml:space="preserve">A </w:t>
            </w:r>
            <w:r w:rsidRPr="00632E47">
              <w:t>cross-sectiona</w:t>
            </w:r>
            <w:r>
              <w:t>l</w:t>
            </w:r>
          </w:p>
          <w:p w:rsidR="00632E47" w:rsidRDefault="00632E47" w:rsidP="004E528A">
            <w:r>
              <w:t>methodology</w:t>
            </w:r>
          </w:p>
        </w:tc>
        <w:tc>
          <w:tcPr>
            <w:tcW w:w="1877" w:type="dxa"/>
          </w:tcPr>
          <w:p w:rsidR="00C749C7" w:rsidRDefault="0004470E" w:rsidP="004E528A">
            <w:r>
              <w:t xml:space="preserve">The sample involved 81 studies done whereby </w:t>
            </w:r>
            <w:r w:rsidRPr="0004470E">
              <w:t xml:space="preserve">39 studies used all three subscales of the </w:t>
            </w:r>
            <w:proofErr w:type="spellStart"/>
            <w:r w:rsidRPr="0004470E">
              <w:t>Maslach</w:t>
            </w:r>
            <w:proofErr w:type="spellEnd"/>
            <w:r w:rsidRPr="0004470E">
              <w:t xml:space="preserve"> Burnout Inventory (MBI) Scale to measure burnou</w:t>
            </w:r>
            <w:r>
              <w:t>t</w:t>
            </w:r>
            <w:r w:rsidR="00113FCE">
              <w:t>.</w:t>
            </w:r>
          </w:p>
        </w:tc>
        <w:tc>
          <w:tcPr>
            <w:tcW w:w="1957" w:type="dxa"/>
          </w:tcPr>
          <w:p w:rsidR="0004470E" w:rsidRDefault="0004470E" w:rsidP="004E528A">
            <w:r w:rsidRPr="0004470E">
              <w:t>Out of the 81 studies which had been divided into three subgroups</w:t>
            </w:r>
            <w:r>
              <w:t>,</w:t>
            </w:r>
          </w:p>
          <w:p w:rsidR="00C749C7" w:rsidRDefault="0004470E" w:rsidP="004E528A">
            <w:r w:rsidRPr="0004470E">
              <w:t>Twenty-three papers used the Emotional Exhaustion subscale only, and 11 papers used the Emotional Exhaustion</w:t>
            </w:r>
            <w:r w:rsidR="00113FCE">
              <w:t xml:space="preserve"> and Depersonaliz</w:t>
            </w:r>
            <w:r w:rsidR="007E3D96">
              <w:t>ation</w:t>
            </w:r>
            <w:r>
              <w:t xml:space="preserve"> and 39</w:t>
            </w:r>
            <w:r w:rsidR="00113FCE">
              <w:t xml:space="preserve">(47%) papers measured all the three subscales. </w:t>
            </w:r>
          </w:p>
        </w:tc>
        <w:tc>
          <w:tcPr>
            <w:tcW w:w="1791" w:type="dxa"/>
          </w:tcPr>
          <w:p w:rsidR="00C749C7" w:rsidRDefault="00113FCE" w:rsidP="004E528A">
            <w:r>
              <w:t xml:space="preserve">The studies showed that </w:t>
            </w:r>
            <w:r w:rsidR="007534F3">
              <w:t xml:space="preserve">adverse job characteristics such as </w:t>
            </w:r>
            <w:r w:rsidRPr="00113FCE">
              <w:t>high workload, low staffing level</w:t>
            </w:r>
            <w:r>
              <w:t xml:space="preserve">s, long shifts, and low control </w:t>
            </w:r>
            <w:r w:rsidRPr="00113FCE">
              <w:t>are associated with burnout in nursin</w:t>
            </w:r>
            <w:r>
              <w:t>g.</w:t>
            </w:r>
            <w:r w:rsidR="007E3D96">
              <w:t xml:space="preserve"> </w:t>
            </w:r>
            <w:r w:rsidR="007534F3" w:rsidRPr="007534F3">
              <w:t>A</w:t>
            </w:r>
            <w:r w:rsidR="007534F3">
              <w:t>mong the outcomes of burnout,</w:t>
            </w:r>
            <w:r w:rsidR="007534F3" w:rsidRPr="007534F3">
              <w:t xml:space="preserve"> reduced job performance, poor quality of care, poor patient safety, adverse events, patient negative experience, medication errors, infections, patient falls, and intention to leave</w:t>
            </w:r>
            <w:r w:rsidR="007E3D96">
              <w:t xml:space="preserve"> were also noted.</w:t>
            </w:r>
          </w:p>
        </w:tc>
        <w:tc>
          <w:tcPr>
            <w:tcW w:w="1743" w:type="dxa"/>
          </w:tcPr>
          <w:p w:rsidR="00C749C7" w:rsidRDefault="00C749C7" w:rsidP="004E528A"/>
        </w:tc>
      </w:tr>
      <w:tr w:rsidR="00DA1935" w:rsidTr="00FD4C59">
        <w:trPr>
          <w:jc w:val="center"/>
        </w:trPr>
        <w:tc>
          <w:tcPr>
            <w:tcW w:w="6144" w:type="dxa"/>
          </w:tcPr>
          <w:p w:rsidR="00C749C7" w:rsidRDefault="00C749C7" w:rsidP="004E528A"/>
          <w:p w:rsidR="00C749C7" w:rsidRDefault="00665B84" w:rsidP="008F0D1F">
            <w:pPr>
              <w:spacing w:line="480" w:lineRule="auto"/>
              <w:ind w:left="720" w:hanging="720"/>
            </w:pPr>
            <w:proofErr w:type="spellStart"/>
            <w:r w:rsidRPr="00665B84">
              <w:t>Rusca</w:t>
            </w:r>
            <w:proofErr w:type="spellEnd"/>
            <w:r w:rsidRPr="00665B84">
              <w:t xml:space="preserve"> Putra, K., &amp; </w:t>
            </w:r>
            <w:proofErr w:type="spellStart"/>
            <w:r w:rsidRPr="00665B84">
              <w:t>Setyowati</w:t>
            </w:r>
            <w:proofErr w:type="spellEnd"/>
            <w:r w:rsidRPr="00665B84">
              <w:t>. (2019). Prevalence of burnout syndrome among nurses in general hospitals in provincial East Java: Cross-sectional study. </w:t>
            </w:r>
            <w:proofErr w:type="spellStart"/>
            <w:r w:rsidRPr="00665B84">
              <w:rPr>
                <w:i/>
                <w:iCs/>
              </w:rPr>
              <w:t>Enfermería</w:t>
            </w:r>
            <w:proofErr w:type="spellEnd"/>
            <w:r w:rsidRPr="00665B84">
              <w:rPr>
                <w:i/>
                <w:iCs/>
              </w:rPr>
              <w:t xml:space="preserve"> </w:t>
            </w:r>
            <w:proofErr w:type="spellStart"/>
            <w:r w:rsidRPr="00665B84">
              <w:rPr>
                <w:i/>
                <w:iCs/>
              </w:rPr>
              <w:t>Clínica</w:t>
            </w:r>
            <w:proofErr w:type="spellEnd"/>
            <w:r w:rsidRPr="00665B84">
              <w:t>, </w:t>
            </w:r>
            <w:r w:rsidRPr="00665B84">
              <w:rPr>
                <w:i/>
                <w:iCs/>
              </w:rPr>
              <w:t>29</w:t>
            </w:r>
            <w:r w:rsidRPr="00665B84">
              <w:t>, 362-366. </w:t>
            </w:r>
            <w:hyperlink r:id="rId11" w:history="1">
              <w:r w:rsidRPr="009D6725">
                <w:rPr>
                  <w:rStyle w:val="Hyperlink"/>
                </w:rPr>
                <w:t>https://doi.org/10.1016/j.enfcli.2019.04.045</w:t>
              </w:r>
            </w:hyperlink>
          </w:p>
          <w:p w:rsidR="00665B84" w:rsidRDefault="00665B84" w:rsidP="008F0D1F">
            <w:pPr>
              <w:spacing w:line="480" w:lineRule="auto"/>
              <w:ind w:left="720" w:hanging="720"/>
            </w:pPr>
          </w:p>
        </w:tc>
        <w:tc>
          <w:tcPr>
            <w:tcW w:w="1651" w:type="dxa"/>
          </w:tcPr>
          <w:p w:rsidR="00C749C7" w:rsidRDefault="00FD4C59" w:rsidP="004E528A">
            <w:r>
              <w:t>What is the p</w:t>
            </w:r>
            <w:r w:rsidRPr="00FD4C59">
              <w:t>revalence of burnout syndrome among nurses</w:t>
            </w:r>
            <w:r>
              <w:t>?</w:t>
            </w:r>
          </w:p>
        </w:tc>
        <w:tc>
          <w:tcPr>
            <w:tcW w:w="1409" w:type="dxa"/>
          </w:tcPr>
          <w:p w:rsidR="00C749C7" w:rsidRDefault="00820A07" w:rsidP="004E528A">
            <w:r>
              <w:t xml:space="preserve">A </w:t>
            </w:r>
            <w:r w:rsidRPr="00665B84">
              <w:t>Cross-sectional study</w:t>
            </w:r>
          </w:p>
        </w:tc>
        <w:tc>
          <w:tcPr>
            <w:tcW w:w="1326" w:type="dxa"/>
          </w:tcPr>
          <w:p w:rsidR="00C749C7" w:rsidRDefault="00820A07" w:rsidP="0009768B">
            <w:r>
              <w:t xml:space="preserve">A </w:t>
            </w:r>
            <w:r w:rsidRPr="004746CC">
              <w:t>descriptive exploration design with a cross</w:t>
            </w:r>
            <w:r>
              <w:t>-</w:t>
            </w:r>
            <w:r w:rsidRPr="004746CC">
              <w:t>sectional approach</w:t>
            </w:r>
          </w:p>
        </w:tc>
        <w:tc>
          <w:tcPr>
            <w:tcW w:w="1877" w:type="dxa"/>
          </w:tcPr>
          <w:p w:rsidR="00C749C7" w:rsidRDefault="00820A07" w:rsidP="004E528A">
            <w:r>
              <w:t xml:space="preserve">The sample involved nurses </w:t>
            </w:r>
            <w:r w:rsidRPr="00514720">
              <w:t>who worked in the medical---surgical rooms at three government</w:t>
            </w:r>
            <w:r>
              <w:t>-</w:t>
            </w:r>
            <w:r w:rsidRPr="00514720">
              <w:t xml:space="preserve">owned public </w:t>
            </w:r>
            <w:proofErr w:type="gramStart"/>
            <w:r w:rsidRPr="00514720">
              <w:t>hospital</w:t>
            </w:r>
            <w:proofErr w:type="gramEnd"/>
            <w:r w:rsidRPr="00514720">
              <w:t xml:space="preserve"> in East Java Province</w:t>
            </w:r>
            <w:r>
              <w:t xml:space="preserve">. </w:t>
            </w:r>
            <w:r w:rsidRPr="0009768B">
              <w:t xml:space="preserve">These were the Dr. </w:t>
            </w:r>
            <w:proofErr w:type="spellStart"/>
            <w:r w:rsidRPr="0009768B">
              <w:t>Saiful</w:t>
            </w:r>
            <w:proofErr w:type="spellEnd"/>
            <w:r w:rsidRPr="0009768B">
              <w:t xml:space="preserve"> Anwar General Hospital, where 224 nurses participated, the Dr. </w:t>
            </w:r>
            <w:proofErr w:type="spellStart"/>
            <w:r w:rsidRPr="0009768B">
              <w:t>Soetomo</w:t>
            </w:r>
            <w:proofErr w:type="spellEnd"/>
            <w:r w:rsidRPr="0009768B">
              <w:t xml:space="preserve"> Hospital were 156 nurses participated, and the 105 nurses </w:t>
            </w:r>
            <w:r>
              <w:t xml:space="preserve">from </w:t>
            </w:r>
            <w:proofErr w:type="spellStart"/>
            <w:r>
              <w:t>Ngudi</w:t>
            </w:r>
            <w:proofErr w:type="spellEnd"/>
            <w:r>
              <w:t xml:space="preserve"> </w:t>
            </w:r>
            <w:proofErr w:type="spellStart"/>
            <w:r>
              <w:t>Waluyo</w:t>
            </w:r>
            <w:proofErr w:type="spellEnd"/>
            <w:r>
              <w:t xml:space="preserve"> General Hospital.</w:t>
            </w:r>
            <w:r>
              <w:t xml:space="preserve"> The nurses chosen for the research had to have more than year experience and have least nursing diploma.</w:t>
            </w:r>
          </w:p>
        </w:tc>
        <w:tc>
          <w:tcPr>
            <w:tcW w:w="1957" w:type="dxa"/>
          </w:tcPr>
          <w:p w:rsidR="00C749C7" w:rsidRDefault="005D4C3D" w:rsidP="00820A07">
            <w:r w:rsidRPr="005D4C3D">
              <w:t>Data collection was carried out</w:t>
            </w:r>
            <w:r>
              <w:t xml:space="preserve"> using two research instruments;</w:t>
            </w:r>
            <w:r w:rsidRPr="005D4C3D">
              <w:t xml:space="preserve"> the </w:t>
            </w:r>
            <w:proofErr w:type="spellStart"/>
            <w:r w:rsidRPr="005D4C3D">
              <w:t>Maslach</w:t>
            </w:r>
            <w:proofErr w:type="spellEnd"/>
            <w:r w:rsidRPr="005D4C3D">
              <w:t xml:space="preserve"> Burnout Inventory-Human Service Survey (MBI-HSS</w:t>
            </w:r>
            <w:proofErr w:type="gramStart"/>
            <w:r w:rsidRPr="005D4C3D">
              <w:t>)12</w:t>
            </w:r>
            <w:proofErr w:type="gramEnd"/>
            <w:r w:rsidRPr="005D4C3D">
              <w:t xml:space="preserve"> and a socio</w:t>
            </w:r>
            <w:r>
              <w:t>-</w:t>
            </w:r>
            <w:r w:rsidRPr="005D4C3D">
              <w:t>demographic questionnaire to gather information on age, gender, marital status, work</w:t>
            </w:r>
            <w:r>
              <w:t xml:space="preserve"> and  other related attributes.</w:t>
            </w:r>
          </w:p>
        </w:tc>
        <w:tc>
          <w:tcPr>
            <w:tcW w:w="1791" w:type="dxa"/>
          </w:tcPr>
          <w:p w:rsidR="005D4C3D" w:rsidRDefault="00C749C7" w:rsidP="005D4C3D">
            <w:r>
              <w:t>.</w:t>
            </w:r>
            <w:r w:rsidR="005D4C3D">
              <w:t xml:space="preserve"> </w:t>
            </w:r>
            <w:r w:rsidR="005D4C3D">
              <w:t>Forty seven percent(n=</w:t>
            </w:r>
            <w:r w:rsidR="005D4C3D" w:rsidRPr="00820A07">
              <w:t>228</w:t>
            </w:r>
            <w:r w:rsidR="005D4C3D">
              <w:t>)</w:t>
            </w:r>
          </w:p>
          <w:p w:rsidR="00C749C7" w:rsidRDefault="005D4C3D" w:rsidP="005D4C3D">
            <w:r w:rsidRPr="00820A07">
              <w:t>B</w:t>
            </w:r>
            <w:r w:rsidRPr="00820A07">
              <w:t>urn</w:t>
            </w:r>
            <w:r>
              <w:t>-</w:t>
            </w:r>
            <w:r w:rsidRPr="00820A07">
              <w:t xml:space="preserve">out </w:t>
            </w:r>
            <w:r>
              <w:t xml:space="preserve">nurses </w:t>
            </w:r>
            <w:r w:rsidRPr="00820A07">
              <w:t>displayed symptoms o</w:t>
            </w:r>
            <w:r>
              <w:t xml:space="preserve">f emotional exhaustion, </w:t>
            </w:r>
            <w:r w:rsidRPr="00820A07">
              <w:t>symptoms of depersonalization were evident in 233 (48%), and symptoms of decreased achievement were seen in 237 (48.8%)</w:t>
            </w:r>
            <w:r>
              <w:t>.</w:t>
            </w:r>
          </w:p>
        </w:tc>
        <w:tc>
          <w:tcPr>
            <w:tcW w:w="1743" w:type="dxa"/>
          </w:tcPr>
          <w:p w:rsidR="00C749C7" w:rsidRDefault="00C749C7" w:rsidP="004E528A"/>
        </w:tc>
      </w:tr>
      <w:tr w:rsidR="00DA1935" w:rsidTr="00FD4C59">
        <w:trPr>
          <w:jc w:val="center"/>
        </w:trPr>
        <w:tc>
          <w:tcPr>
            <w:tcW w:w="6144" w:type="dxa"/>
          </w:tcPr>
          <w:p w:rsidR="00C749C7" w:rsidRDefault="00C749C7" w:rsidP="004E528A"/>
          <w:p w:rsidR="00C749C7" w:rsidRDefault="00FA7EC0" w:rsidP="004E528A">
            <w:r w:rsidRPr="00FA7EC0">
              <w:t xml:space="preserve">Ferreira, P. L., </w:t>
            </w:r>
            <w:proofErr w:type="spellStart"/>
            <w:r w:rsidRPr="00FA7EC0">
              <w:t>Raposo</w:t>
            </w:r>
            <w:proofErr w:type="spellEnd"/>
            <w:r w:rsidRPr="00FA7EC0">
              <w:t>, V., Tavares, A. I., &amp; Pinto, A. (2021). Burnout and health status differences among primary healthcare professionals in Portugal. </w:t>
            </w:r>
            <w:r w:rsidRPr="00FA7EC0">
              <w:rPr>
                <w:i/>
                <w:iCs/>
              </w:rPr>
              <w:t>BMC Family Practice</w:t>
            </w:r>
            <w:r w:rsidRPr="00FA7EC0">
              <w:t>, </w:t>
            </w:r>
            <w:r w:rsidRPr="00FA7EC0">
              <w:rPr>
                <w:i/>
                <w:iCs/>
              </w:rPr>
              <w:t>22</w:t>
            </w:r>
            <w:r w:rsidRPr="00FA7EC0">
              <w:t>(1). </w:t>
            </w:r>
            <w:hyperlink r:id="rId12" w:history="1">
              <w:r w:rsidRPr="009D6725">
                <w:rPr>
                  <w:rStyle w:val="Hyperlink"/>
                </w:rPr>
                <w:t>https://doi.org/10.1186/s12875-021-01425-9</w:t>
              </w:r>
            </w:hyperlink>
          </w:p>
          <w:p w:rsidR="00FA7EC0" w:rsidRDefault="00FA7EC0" w:rsidP="004E528A"/>
          <w:p w:rsidR="00C749C7" w:rsidRDefault="00C749C7" w:rsidP="004E528A"/>
          <w:p w:rsidR="00C749C7" w:rsidRDefault="00C749C7" w:rsidP="004E528A"/>
        </w:tc>
        <w:tc>
          <w:tcPr>
            <w:tcW w:w="1651" w:type="dxa"/>
          </w:tcPr>
          <w:p w:rsidR="00C749C7" w:rsidRDefault="00FF4CB1" w:rsidP="004E528A">
            <w:r>
              <w:t>What are the b</w:t>
            </w:r>
            <w:r w:rsidRPr="00FF4CB1">
              <w:t>urnout and health status differences among primary healthcare professionals in Portugal</w:t>
            </w:r>
            <w:r>
              <w:t>?</w:t>
            </w:r>
          </w:p>
        </w:tc>
        <w:tc>
          <w:tcPr>
            <w:tcW w:w="1409" w:type="dxa"/>
          </w:tcPr>
          <w:p w:rsidR="00B97D4D" w:rsidRDefault="00B97D4D" w:rsidP="004E528A">
            <w:r>
              <w:t>A quantitative</w:t>
            </w:r>
          </w:p>
          <w:p w:rsidR="00C749C7" w:rsidRDefault="00B97D4D" w:rsidP="004E528A">
            <w:r>
              <w:t xml:space="preserve">study </w:t>
            </w:r>
          </w:p>
        </w:tc>
        <w:tc>
          <w:tcPr>
            <w:tcW w:w="1326" w:type="dxa"/>
          </w:tcPr>
          <w:p w:rsidR="00C749C7" w:rsidRDefault="00B97D4D" w:rsidP="004E528A">
            <w:r>
              <w:t>A quantitative design</w:t>
            </w:r>
          </w:p>
        </w:tc>
        <w:tc>
          <w:tcPr>
            <w:tcW w:w="1877" w:type="dxa"/>
          </w:tcPr>
          <w:p w:rsidR="00C749C7" w:rsidRDefault="00355ED4" w:rsidP="004E528A">
            <w:r w:rsidRPr="00355ED4">
              <w:t xml:space="preserve">A sample of 9,094 professionals from all 1,212 primary health care settings in Portugal mainland was obtained from an online questionnaire </w:t>
            </w:r>
            <w:proofErr w:type="spellStart"/>
            <w:r w:rsidRPr="00355ED4">
              <w:t>flled</w:t>
            </w:r>
            <w:proofErr w:type="spellEnd"/>
            <w:r w:rsidRPr="00355ED4">
              <w:t xml:space="preserve"> from January and April 2018</w:t>
            </w:r>
            <w:r>
              <w:t xml:space="preserve">. </w:t>
            </w:r>
          </w:p>
        </w:tc>
        <w:tc>
          <w:tcPr>
            <w:tcW w:w="1957" w:type="dxa"/>
          </w:tcPr>
          <w:p w:rsidR="00C749C7" w:rsidRDefault="00355ED4" w:rsidP="004E528A">
            <w:r w:rsidRPr="00355ED4">
              <w:t>Data was gathered from an online questionnaire implemented on primary health care</w:t>
            </w:r>
            <w:r w:rsidR="00B97D4D">
              <w:t xml:space="preserve"> sent to </w:t>
            </w:r>
            <w:r w:rsidR="00B97D4D" w:rsidRPr="00B97D4D">
              <w:t>9,094 professionals</w:t>
            </w:r>
          </w:p>
        </w:tc>
        <w:tc>
          <w:tcPr>
            <w:tcW w:w="1791" w:type="dxa"/>
          </w:tcPr>
          <w:p w:rsidR="00C749C7" w:rsidRDefault="00355ED4" w:rsidP="004E528A">
            <w:r>
              <w:t>It was clear that</w:t>
            </w:r>
            <w:r w:rsidRPr="00355ED4">
              <w:t xml:space="preserve"> individual drivers for</w:t>
            </w:r>
            <w:r w:rsidR="00B97D4D">
              <w:t xml:space="preserve"> a</w:t>
            </w:r>
            <w:r w:rsidRPr="00355ED4">
              <w:t xml:space="preserve"> good health and lo</w:t>
            </w:r>
            <w:r w:rsidR="00B97D4D">
              <w:t xml:space="preserve">wer levels of burnout are, </w:t>
            </w:r>
            <w:r w:rsidRPr="00355ED4">
              <w:t xml:space="preserve">better well-being, are estimated for GPs </w:t>
            </w:r>
            <w:r>
              <w:t>and nurses</w:t>
            </w:r>
            <w:r w:rsidR="00B97D4D">
              <w:t xml:space="preserve">. Notably, </w:t>
            </w:r>
            <w:r w:rsidR="00B97D4D" w:rsidRPr="00B97D4D">
              <w:t>nurses repo</w:t>
            </w:r>
            <w:r w:rsidR="00B97D4D">
              <w:t>rt worst health than GPs, and face higher level of burnouts. Satisfactory heath policies such as improving job contentment</w:t>
            </w:r>
            <w:r w:rsidR="00B97D4D" w:rsidRPr="00B97D4D">
              <w:t xml:space="preserve"> and income</w:t>
            </w:r>
            <w:r w:rsidR="00B97D4D">
              <w:t xml:space="preserve"> should be implemented to cope with this issue.</w:t>
            </w:r>
          </w:p>
        </w:tc>
        <w:tc>
          <w:tcPr>
            <w:tcW w:w="1743" w:type="dxa"/>
          </w:tcPr>
          <w:p w:rsidR="00C749C7" w:rsidRDefault="00C749C7" w:rsidP="004E528A"/>
        </w:tc>
      </w:tr>
      <w:tr w:rsidR="00DA1935" w:rsidTr="00FD4C59">
        <w:trPr>
          <w:jc w:val="center"/>
        </w:trPr>
        <w:tc>
          <w:tcPr>
            <w:tcW w:w="6144" w:type="dxa"/>
          </w:tcPr>
          <w:p w:rsidR="00C749C7" w:rsidRDefault="00447627" w:rsidP="004E528A">
            <w:r w:rsidRPr="00447627">
              <w:t xml:space="preserve">Abraham, C. M., </w:t>
            </w:r>
            <w:proofErr w:type="spellStart"/>
            <w:r w:rsidRPr="00447627">
              <w:t>Zheng</w:t>
            </w:r>
            <w:proofErr w:type="spellEnd"/>
            <w:r w:rsidRPr="00447627">
              <w:t xml:space="preserve">, K., </w:t>
            </w:r>
            <w:proofErr w:type="spellStart"/>
            <w:r w:rsidRPr="00447627">
              <w:t>Norful</w:t>
            </w:r>
            <w:proofErr w:type="spellEnd"/>
            <w:r w:rsidRPr="00447627">
              <w:t xml:space="preserve">, A. A., </w:t>
            </w:r>
            <w:proofErr w:type="spellStart"/>
            <w:r w:rsidRPr="00447627">
              <w:t>Ghaffari</w:t>
            </w:r>
            <w:proofErr w:type="spellEnd"/>
            <w:r w:rsidRPr="00447627">
              <w:t xml:space="preserve">, A., Liu, J., &amp; </w:t>
            </w:r>
            <w:proofErr w:type="spellStart"/>
            <w:r w:rsidRPr="00447627">
              <w:t>Poghosyan</w:t>
            </w:r>
            <w:proofErr w:type="spellEnd"/>
            <w:r w:rsidRPr="00447627">
              <w:t>, L. (2021). Primary Care Practice Environment and Burnout Among Nurse Practitioners. </w:t>
            </w:r>
            <w:r w:rsidRPr="00447627">
              <w:rPr>
                <w:i/>
                <w:iCs/>
              </w:rPr>
              <w:t>The Journal for Nurse Practitioners</w:t>
            </w:r>
            <w:r w:rsidRPr="00447627">
              <w:t>, </w:t>
            </w:r>
            <w:r w:rsidRPr="00447627">
              <w:rPr>
                <w:i/>
                <w:iCs/>
              </w:rPr>
              <w:t>17</w:t>
            </w:r>
            <w:r w:rsidRPr="00447627">
              <w:t>(2), 157-162. </w:t>
            </w:r>
            <w:hyperlink r:id="rId13" w:history="1">
              <w:r w:rsidRPr="009D6725">
                <w:rPr>
                  <w:rStyle w:val="Hyperlink"/>
                </w:rPr>
                <w:t>https://doi.org/10.1016/j.nurpra.2020.11.009</w:t>
              </w:r>
            </w:hyperlink>
          </w:p>
          <w:p w:rsidR="00447627" w:rsidRDefault="00447627" w:rsidP="004E528A"/>
          <w:p w:rsidR="00447627" w:rsidRDefault="00447627" w:rsidP="004E528A"/>
          <w:p w:rsidR="00C749C7" w:rsidRDefault="00C749C7" w:rsidP="004E528A"/>
          <w:p w:rsidR="00C749C7" w:rsidRDefault="00C749C7" w:rsidP="004E528A"/>
          <w:p w:rsidR="00C749C7" w:rsidRDefault="00C749C7" w:rsidP="004E528A"/>
        </w:tc>
        <w:tc>
          <w:tcPr>
            <w:tcW w:w="1651" w:type="dxa"/>
          </w:tcPr>
          <w:p w:rsidR="00C749C7" w:rsidRDefault="00355ED4" w:rsidP="004E528A">
            <w:r>
              <w:t xml:space="preserve">What is the </w:t>
            </w:r>
            <w:r w:rsidRPr="00355ED4">
              <w:t>association between the primary care prac</w:t>
            </w:r>
            <w:r>
              <w:t>tice environment and burnout NPs?</w:t>
            </w:r>
          </w:p>
        </w:tc>
        <w:tc>
          <w:tcPr>
            <w:tcW w:w="1409" w:type="dxa"/>
          </w:tcPr>
          <w:p w:rsidR="00C749C7" w:rsidRDefault="00507B02" w:rsidP="004E528A">
            <w:r>
              <w:t>A qualitative study</w:t>
            </w:r>
          </w:p>
        </w:tc>
        <w:tc>
          <w:tcPr>
            <w:tcW w:w="1326" w:type="dxa"/>
          </w:tcPr>
          <w:p w:rsidR="00C749C7" w:rsidRDefault="00507B02" w:rsidP="004E528A">
            <w:r>
              <w:t xml:space="preserve">A qualitative </w:t>
            </w:r>
            <w:r w:rsidRPr="00507B02">
              <w:t>cross-sectional</w:t>
            </w:r>
            <w:r>
              <w:t xml:space="preserve"> design</w:t>
            </w:r>
          </w:p>
        </w:tc>
        <w:tc>
          <w:tcPr>
            <w:tcW w:w="1877" w:type="dxa"/>
          </w:tcPr>
          <w:p w:rsidR="00C749C7" w:rsidRDefault="00507B02" w:rsidP="004E528A">
            <w:r>
              <w:t>The sample involved</w:t>
            </w:r>
            <w:r w:rsidRPr="00507B02">
              <w:t xml:space="preserve"> data from 396 NPs, with 27.5% of NPs being from New Jersey and the rest from Pennsylvani</w:t>
            </w:r>
            <w:r>
              <w:t xml:space="preserve">a. </w:t>
            </w:r>
            <w:r w:rsidRPr="00507B02">
              <w:t>Most NPs were women (90.4%) and White (89.4%)</w:t>
            </w:r>
          </w:p>
        </w:tc>
        <w:tc>
          <w:tcPr>
            <w:tcW w:w="1957" w:type="dxa"/>
          </w:tcPr>
          <w:p w:rsidR="00C749C7" w:rsidRDefault="00DA1935" w:rsidP="00DA1935">
            <w:r>
              <w:t>The data retrieved from the participants was presented on a conceptual framework and statistical analysis was performed to better understand the scenario.</w:t>
            </w:r>
          </w:p>
        </w:tc>
        <w:tc>
          <w:tcPr>
            <w:tcW w:w="1791" w:type="dxa"/>
          </w:tcPr>
          <w:p w:rsidR="00C749C7" w:rsidRDefault="00507B02" w:rsidP="004E528A">
            <w:r>
              <w:t xml:space="preserve">It was noted that </w:t>
            </w:r>
            <w:r w:rsidRPr="00507B02">
              <w:t>NPs worked 38.9 (SD, 11.2) hours per week, with most of their time spent providing direct clinical patient care, followed by coordinating patient care</w:t>
            </w:r>
            <w:r>
              <w:t xml:space="preserve"> and 25.3% of NPs were burnt</w:t>
            </w:r>
            <w:r w:rsidR="00355ED4">
              <w:t>-</w:t>
            </w:r>
            <w:r w:rsidRPr="00507B02">
              <w:t>out</w:t>
            </w:r>
            <w:r>
              <w:t>.</w:t>
            </w:r>
          </w:p>
        </w:tc>
        <w:tc>
          <w:tcPr>
            <w:tcW w:w="1743" w:type="dxa"/>
          </w:tcPr>
          <w:p w:rsidR="00C749C7" w:rsidRDefault="00C749C7" w:rsidP="004E528A"/>
        </w:tc>
      </w:tr>
      <w:tr w:rsidR="00DA1935" w:rsidTr="00FD4C59">
        <w:trPr>
          <w:jc w:val="center"/>
        </w:trPr>
        <w:tc>
          <w:tcPr>
            <w:tcW w:w="6144" w:type="dxa"/>
          </w:tcPr>
          <w:p w:rsidR="00C749C7" w:rsidRDefault="00C749C7" w:rsidP="004E528A"/>
          <w:p w:rsidR="00C749C7" w:rsidRDefault="00013EDD" w:rsidP="004E528A">
            <w:proofErr w:type="spellStart"/>
            <w:r w:rsidRPr="00013EDD">
              <w:t>Maglalang</w:t>
            </w:r>
            <w:proofErr w:type="spellEnd"/>
            <w:r w:rsidRPr="00013EDD">
              <w:t xml:space="preserve">, D. D., Sorensen, G., </w:t>
            </w:r>
            <w:proofErr w:type="spellStart"/>
            <w:r w:rsidRPr="00013EDD">
              <w:t>Hopcia</w:t>
            </w:r>
            <w:proofErr w:type="spellEnd"/>
            <w:r w:rsidRPr="00013EDD">
              <w:t xml:space="preserve">, K., Hashimoto, D. M., </w:t>
            </w:r>
            <w:proofErr w:type="spellStart"/>
            <w:r w:rsidRPr="00013EDD">
              <w:t>Katigbak</w:t>
            </w:r>
            <w:proofErr w:type="spellEnd"/>
            <w:r w:rsidRPr="00013EDD">
              <w:t xml:space="preserve">, C., </w:t>
            </w:r>
            <w:proofErr w:type="spellStart"/>
            <w:r w:rsidRPr="00013EDD">
              <w:t>Pandey</w:t>
            </w:r>
            <w:proofErr w:type="spellEnd"/>
            <w:r w:rsidRPr="00013EDD">
              <w:t>, S., Takeuchi, D., &amp; Sabbath, E. L. (2021). Job and family demands and burnout among healthcare workers: The moderating role of workplace flexibility. </w:t>
            </w:r>
            <w:r w:rsidRPr="00013EDD">
              <w:rPr>
                <w:i/>
                <w:iCs/>
              </w:rPr>
              <w:t>SSM - Population Health</w:t>
            </w:r>
            <w:r w:rsidRPr="00013EDD">
              <w:t>, </w:t>
            </w:r>
            <w:r w:rsidRPr="00013EDD">
              <w:rPr>
                <w:i/>
                <w:iCs/>
              </w:rPr>
              <w:t>14</w:t>
            </w:r>
            <w:r w:rsidRPr="00013EDD">
              <w:t>, 100802. </w:t>
            </w:r>
            <w:hyperlink r:id="rId14" w:history="1">
              <w:r w:rsidRPr="009D6725">
                <w:rPr>
                  <w:rStyle w:val="Hyperlink"/>
                </w:rPr>
                <w:t>https://doi.org/10.1016/j.ssmph.2021.100802</w:t>
              </w:r>
            </w:hyperlink>
          </w:p>
          <w:p w:rsidR="00013EDD" w:rsidRDefault="00013EDD" w:rsidP="004E528A"/>
          <w:p w:rsidR="00C749C7" w:rsidRDefault="00C749C7" w:rsidP="004E528A"/>
          <w:p w:rsidR="00C749C7" w:rsidRDefault="00C749C7" w:rsidP="004E528A"/>
          <w:p w:rsidR="00C749C7" w:rsidRDefault="00C749C7" w:rsidP="004E528A"/>
        </w:tc>
        <w:tc>
          <w:tcPr>
            <w:tcW w:w="1651" w:type="dxa"/>
          </w:tcPr>
          <w:p w:rsidR="00C749C7" w:rsidRDefault="004746CC" w:rsidP="004E528A">
            <w:r>
              <w:t xml:space="preserve">How do NPs </w:t>
            </w:r>
            <w:r w:rsidR="00FD4C59">
              <w:t xml:space="preserve">manage to </w:t>
            </w:r>
            <w:r>
              <w:t>balance the</w:t>
            </w:r>
            <w:r w:rsidR="00D85114">
              <w:t>ir</w:t>
            </w:r>
            <w:r>
              <w:t xml:space="preserve"> work and </w:t>
            </w:r>
            <w:r w:rsidR="00D85114">
              <w:t xml:space="preserve">their </w:t>
            </w:r>
            <w:r>
              <w:t>personal life?</w:t>
            </w:r>
          </w:p>
        </w:tc>
        <w:tc>
          <w:tcPr>
            <w:tcW w:w="1409" w:type="dxa"/>
          </w:tcPr>
          <w:p w:rsidR="00C749C7" w:rsidRDefault="007E3D96" w:rsidP="004E528A">
            <w:r>
              <w:t>A qualitative study</w:t>
            </w:r>
          </w:p>
        </w:tc>
        <w:tc>
          <w:tcPr>
            <w:tcW w:w="1326" w:type="dxa"/>
          </w:tcPr>
          <w:p w:rsidR="00C749C7" w:rsidRDefault="007E3D96" w:rsidP="004E528A">
            <w:r>
              <w:t>A</w:t>
            </w:r>
            <w:r w:rsidR="00D85114">
              <w:t xml:space="preserve"> cross-sectional method</w:t>
            </w:r>
          </w:p>
        </w:tc>
        <w:tc>
          <w:tcPr>
            <w:tcW w:w="1877" w:type="dxa"/>
          </w:tcPr>
          <w:p w:rsidR="00C749C7" w:rsidRDefault="00D85114" w:rsidP="004E528A">
            <w:r>
              <w:t xml:space="preserve">The lifestyle of </w:t>
            </w:r>
            <w:r>
              <w:t>874 healthcare workers</w:t>
            </w:r>
            <w:r>
              <w:t xml:space="preserve"> was analyzed and their data used in the research. </w:t>
            </w:r>
          </w:p>
        </w:tc>
        <w:tc>
          <w:tcPr>
            <w:tcW w:w="1957" w:type="dxa"/>
          </w:tcPr>
          <w:p w:rsidR="00C749C7" w:rsidRDefault="00D85114" w:rsidP="004E528A">
            <w:r w:rsidRPr="007E3D96">
              <w:t>Data from the Boston Hospital Workers Health Study (BHWHS) was used for this study</w:t>
            </w:r>
          </w:p>
        </w:tc>
        <w:tc>
          <w:tcPr>
            <w:tcW w:w="1791" w:type="dxa"/>
          </w:tcPr>
          <w:p w:rsidR="007E3D96" w:rsidRDefault="007E3D96" w:rsidP="004E528A">
            <w:r w:rsidRPr="007E3D96">
              <w:t>Of the 874 healthcare worker</w:t>
            </w:r>
            <w:r>
              <w:t>s in the sample, 92.91% are wome</w:t>
            </w:r>
            <w:r w:rsidRPr="007E3D96">
              <w:t>n, 85.24% are nurses, 82.15% identified as white, 84.10% are born in the U.S., and 29.18% are within the ages of 30–39 years old. Almost 40% are married with no children. Twenty-nine percent of the healthcare workers are high strained which means that they experience high demands and low control at work</w:t>
            </w:r>
            <w:r>
              <w:t>.</w:t>
            </w:r>
          </w:p>
        </w:tc>
        <w:tc>
          <w:tcPr>
            <w:tcW w:w="1743" w:type="dxa"/>
          </w:tcPr>
          <w:p w:rsidR="00C749C7" w:rsidRDefault="00C749C7" w:rsidP="004E528A"/>
        </w:tc>
      </w:tr>
    </w:tbl>
    <w:p w:rsidR="00EC11FD" w:rsidRDefault="00EC11FD"/>
    <w:sectPr w:rsidR="00EC11FD" w:rsidSect="006171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E0"/>
    <w:rsid w:val="000021FF"/>
    <w:rsid w:val="00004D91"/>
    <w:rsid w:val="00010C76"/>
    <w:rsid w:val="000129E6"/>
    <w:rsid w:val="00013EDD"/>
    <w:rsid w:val="0002399D"/>
    <w:rsid w:val="000256B1"/>
    <w:rsid w:val="00025F69"/>
    <w:rsid w:val="00027DD9"/>
    <w:rsid w:val="00032531"/>
    <w:rsid w:val="000329E6"/>
    <w:rsid w:val="000431F5"/>
    <w:rsid w:val="0004470E"/>
    <w:rsid w:val="00054C04"/>
    <w:rsid w:val="00057ED5"/>
    <w:rsid w:val="00060A41"/>
    <w:rsid w:val="00077279"/>
    <w:rsid w:val="00077CFB"/>
    <w:rsid w:val="000801D7"/>
    <w:rsid w:val="000822AC"/>
    <w:rsid w:val="00083A85"/>
    <w:rsid w:val="000879DC"/>
    <w:rsid w:val="00090F39"/>
    <w:rsid w:val="00095F1D"/>
    <w:rsid w:val="0009768B"/>
    <w:rsid w:val="000A70ED"/>
    <w:rsid w:val="000A7983"/>
    <w:rsid w:val="000B1348"/>
    <w:rsid w:val="000B25E5"/>
    <w:rsid w:val="000B5661"/>
    <w:rsid w:val="000B5FBD"/>
    <w:rsid w:val="000C174C"/>
    <w:rsid w:val="000C17B2"/>
    <w:rsid w:val="000C322A"/>
    <w:rsid w:val="000C3346"/>
    <w:rsid w:val="000C345A"/>
    <w:rsid w:val="000C60E7"/>
    <w:rsid w:val="000C77A6"/>
    <w:rsid w:val="000D7125"/>
    <w:rsid w:val="000E1D37"/>
    <w:rsid w:val="000E4F90"/>
    <w:rsid w:val="000E6617"/>
    <w:rsid w:val="000F1CE1"/>
    <w:rsid w:val="000F6804"/>
    <w:rsid w:val="00101CC2"/>
    <w:rsid w:val="00104350"/>
    <w:rsid w:val="001129B3"/>
    <w:rsid w:val="00113FCE"/>
    <w:rsid w:val="00120211"/>
    <w:rsid w:val="00121D51"/>
    <w:rsid w:val="001269FD"/>
    <w:rsid w:val="001274E4"/>
    <w:rsid w:val="00143572"/>
    <w:rsid w:val="00144186"/>
    <w:rsid w:val="00147714"/>
    <w:rsid w:val="0016172C"/>
    <w:rsid w:val="00176EB5"/>
    <w:rsid w:val="00182DC7"/>
    <w:rsid w:val="00184C95"/>
    <w:rsid w:val="00194044"/>
    <w:rsid w:val="00195C6B"/>
    <w:rsid w:val="00196EEE"/>
    <w:rsid w:val="001A3175"/>
    <w:rsid w:val="001A41C6"/>
    <w:rsid w:val="001A7EE5"/>
    <w:rsid w:val="001B17FB"/>
    <w:rsid w:val="001B4877"/>
    <w:rsid w:val="001B4F43"/>
    <w:rsid w:val="001B6783"/>
    <w:rsid w:val="001C0295"/>
    <w:rsid w:val="001C4682"/>
    <w:rsid w:val="001D5C51"/>
    <w:rsid w:val="001E3396"/>
    <w:rsid w:val="00203E34"/>
    <w:rsid w:val="0021355E"/>
    <w:rsid w:val="00225089"/>
    <w:rsid w:val="002417CE"/>
    <w:rsid w:val="00251830"/>
    <w:rsid w:val="00253DEA"/>
    <w:rsid w:val="0025497F"/>
    <w:rsid w:val="002572E8"/>
    <w:rsid w:val="002609CE"/>
    <w:rsid w:val="00260B80"/>
    <w:rsid w:val="00276AC5"/>
    <w:rsid w:val="00277855"/>
    <w:rsid w:val="002801B0"/>
    <w:rsid w:val="002851BA"/>
    <w:rsid w:val="00287452"/>
    <w:rsid w:val="00287767"/>
    <w:rsid w:val="0028797A"/>
    <w:rsid w:val="00291556"/>
    <w:rsid w:val="00295C37"/>
    <w:rsid w:val="002A0CF4"/>
    <w:rsid w:val="002B1D64"/>
    <w:rsid w:val="002B5CEB"/>
    <w:rsid w:val="002B5EA7"/>
    <w:rsid w:val="002C31D5"/>
    <w:rsid w:val="002C46CE"/>
    <w:rsid w:val="002C7A32"/>
    <w:rsid w:val="002C7C4D"/>
    <w:rsid w:val="002D2F6F"/>
    <w:rsid w:val="002D46FD"/>
    <w:rsid w:val="002D59CD"/>
    <w:rsid w:val="002D7D37"/>
    <w:rsid w:val="002F521F"/>
    <w:rsid w:val="002F53E6"/>
    <w:rsid w:val="00307904"/>
    <w:rsid w:val="003118D2"/>
    <w:rsid w:val="0031533C"/>
    <w:rsid w:val="003205F9"/>
    <w:rsid w:val="00321B68"/>
    <w:rsid w:val="00321F3C"/>
    <w:rsid w:val="00322B95"/>
    <w:rsid w:val="003233AD"/>
    <w:rsid w:val="00325937"/>
    <w:rsid w:val="0032594F"/>
    <w:rsid w:val="003312FF"/>
    <w:rsid w:val="00331CC5"/>
    <w:rsid w:val="00331F75"/>
    <w:rsid w:val="00334BD4"/>
    <w:rsid w:val="00337E01"/>
    <w:rsid w:val="00340920"/>
    <w:rsid w:val="00342BBA"/>
    <w:rsid w:val="00355ED4"/>
    <w:rsid w:val="003577E6"/>
    <w:rsid w:val="00357AAE"/>
    <w:rsid w:val="003613A4"/>
    <w:rsid w:val="003654BB"/>
    <w:rsid w:val="0037062F"/>
    <w:rsid w:val="0037128F"/>
    <w:rsid w:val="00376AF8"/>
    <w:rsid w:val="00384336"/>
    <w:rsid w:val="00392FD2"/>
    <w:rsid w:val="003957EF"/>
    <w:rsid w:val="00396087"/>
    <w:rsid w:val="003A0D15"/>
    <w:rsid w:val="003A28EC"/>
    <w:rsid w:val="003A44FA"/>
    <w:rsid w:val="003A5D15"/>
    <w:rsid w:val="003B3BA1"/>
    <w:rsid w:val="003B4E21"/>
    <w:rsid w:val="003B57A3"/>
    <w:rsid w:val="003C2D7D"/>
    <w:rsid w:val="003C55BF"/>
    <w:rsid w:val="003D0BF2"/>
    <w:rsid w:val="003D17AA"/>
    <w:rsid w:val="003D425C"/>
    <w:rsid w:val="003D467E"/>
    <w:rsid w:val="003D7CE7"/>
    <w:rsid w:val="003E1033"/>
    <w:rsid w:val="003E32F2"/>
    <w:rsid w:val="003E33FE"/>
    <w:rsid w:val="00402C03"/>
    <w:rsid w:val="004047A4"/>
    <w:rsid w:val="004115EE"/>
    <w:rsid w:val="0041385D"/>
    <w:rsid w:val="00420AA6"/>
    <w:rsid w:val="004254CD"/>
    <w:rsid w:val="004260E9"/>
    <w:rsid w:val="004330C5"/>
    <w:rsid w:val="00445468"/>
    <w:rsid w:val="0044761F"/>
    <w:rsid w:val="00447627"/>
    <w:rsid w:val="00450468"/>
    <w:rsid w:val="00450692"/>
    <w:rsid w:val="00453FFF"/>
    <w:rsid w:val="00455260"/>
    <w:rsid w:val="00462869"/>
    <w:rsid w:val="00466A4E"/>
    <w:rsid w:val="004736B1"/>
    <w:rsid w:val="004746CC"/>
    <w:rsid w:val="0048302E"/>
    <w:rsid w:val="00483283"/>
    <w:rsid w:val="00484752"/>
    <w:rsid w:val="00485904"/>
    <w:rsid w:val="00492A23"/>
    <w:rsid w:val="004A26A3"/>
    <w:rsid w:val="004B1B01"/>
    <w:rsid w:val="004B405E"/>
    <w:rsid w:val="004C1333"/>
    <w:rsid w:val="004D2EB4"/>
    <w:rsid w:val="004D49EC"/>
    <w:rsid w:val="004E0916"/>
    <w:rsid w:val="004E424C"/>
    <w:rsid w:val="004E7DAD"/>
    <w:rsid w:val="004F12FB"/>
    <w:rsid w:val="004F227F"/>
    <w:rsid w:val="00507B02"/>
    <w:rsid w:val="00507D63"/>
    <w:rsid w:val="00511BC6"/>
    <w:rsid w:val="00514720"/>
    <w:rsid w:val="00517C90"/>
    <w:rsid w:val="00523C3A"/>
    <w:rsid w:val="00532AB7"/>
    <w:rsid w:val="005339E7"/>
    <w:rsid w:val="0054100E"/>
    <w:rsid w:val="00542F9C"/>
    <w:rsid w:val="0054368D"/>
    <w:rsid w:val="005507A4"/>
    <w:rsid w:val="00563AF1"/>
    <w:rsid w:val="00571EB0"/>
    <w:rsid w:val="00573451"/>
    <w:rsid w:val="00573801"/>
    <w:rsid w:val="00584B82"/>
    <w:rsid w:val="005A427D"/>
    <w:rsid w:val="005B3BE4"/>
    <w:rsid w:val="005B4003"/>
    <w:rsid w:val="005C4B1C"/>
    <w:rsid w:val="005D3F3A"/>
    <w:rsid w:val="005D4A07"/>
    <w:rsid w:val="005D4C3D"/>
    <w:rsid w:val="005E17FC"/>
    <w:rsid w:val="005E3D86"/>
    <w:rsid w:val="005E57E6"/>
    <w:rsid w:val="005F31EB"/>
    <w:rsid w:val="005F3D64"/>
    <w:rsid w:val="00601668"/>
    <w:rsid w:val="00601BA2"/>
    <w:rsid w:val="006140B6"/>
    <w:rsid w:val="006171E0"/>
    <w:rsid w:val="00620D88"/>
    <w:rsid w:val="006323CF"/>
    <w:rsid w:val="00632E47"/>
    <w:rsid w:val="006348C5"/>
    <w:rsid w:val="006473E6"/>
    <w:rsid w:val="00650241"/>
    <w:rsid w:val="0065134B"/>
    <w:rsid w:val="00655644"/>
    <w:rsid w:val="00665B84"/>
    <w:rsid w:val="00675C81"/>
    <w:rsid w:val="00676A65"/>
    <w:rsid w:val="00682782"/>
    <w:rsid w:val="0069232D"/>
    <w:rsid w:val="006A2959"/>
    <w:rsid w:val="006A7628"/>
    <w:rsid w:val="006B41ED"/>
    <w:rsid w:val="006C2E87"/>
    <w:rsid w:val="006C44B5"/>
    <w:rsid w:val="006C4719"/>
    <w:rsid w:val="006C634A"/>
    <w:rsid w:val="006D3B5E"/>
    <w:rsid w:val="006E41C2"/>
    <w:rsid w:val="0070102C"/>
    <w:rsid w:val="007055E4"/>
    <w:rsid w:val="0071199A"/>
    <w:rsid w:val="0071353B"/>
    <w:rsid w:val="007154F5"/>
    <w:rsid w:val="007173B9"/>
    <w:rsid w:val="007173FB"/>
    <w:rsid w:val="00727FD1"/>
    <w:rsid w:val="00730943"/>
    <w:rsid w:val="007328E6"/>
    <w:rsid w:val="00736968"/>
    <w:rsid w:val="00742CED"/>
    <w:rsid w:val="007534F3"/>
    <w:rsid w:val="00755ECF"/>
    <w:rsid w:val="00761D5D"/>
    <w:rsid w:val="00764FCB"/>
    <w:rsid w:val="00772498"/>
    <w:rsid w:val="00772CC2"/>
    <w:rsid w:val="0077733A"/>
    <w:rsid w:val="00781147"/>
    <w:rsid w:val="007B04ED"/>
    <w:rsid w:val="007B3011"/>
    <w:rsid w:val="007B39CC"/>
    <w:rsid w:val="007B5420"/>
    <w:rsid w:val="007B6299"/>
    <w:rsid w:val="007C363B"/>
    <w:rsid w:val="007C7DF3"/>
    <w:rsid w:val="007D3B47"/>
    <w:rsid w:val="007D3C6D"/>
    <w:rsid w:val="007D42D7"/>
    <w:rsid w:val="007D42DD"/>
    <w:rsid w:val="007D45C4"/>
    <w:rsid w:val="007D580E"/>
    <w:rsid w:val="007D7628"/>
    <w:rsid w:val="007E3D96"/>
    <w:rsid w:val="007E5E09"/>
    <w:rsid w:val="007F0FD0"/>
    <w:rsid w:val="007F615E"/>
    <w:rsid w:val="007F7D7B"/>
    <w:rsid w:val="008007E5"/>
    <w:rsid w:val="008055DB"/>
    <w:rsid w:val="00805B5E"/>
    <w:rsid w:val="00805C9E"/>
    <w:rsid w:val="0081210B"/>
    <w:rsid w:val="00816744"/>
    <w:rsid w:val="0082055C"/>
    <w:rsid w:val="00820750"/>
    <w:rsid w:val="00820A07"/>
    <w:rsid w:val="008215E0"/>
    <w:rsid w:val="00821997"/>
    <w:rsid w:val="00825271"/>
    <w:rsid w:val="00833B8B"/>
    <w:rsid w:val="00834606"/>
    <w:rsid w:val="008361CA"/>
    <w:rsid w:val="00845947"/>
    <w:rsid w:val="00847107"/>
    <w:rsid w:val="008518EA"/>
    <w:rsid w:val="008576B9"/>
    <w:rsid w:val="008619D2"/>
    <w:rsid w:val="00861C3C"/>
    <w:rsid w:val="0086370F"/>
    <w:rsid w:val="00877C21"/>
    <w:rsid w:val="0088536B"/>
    <w:rsid w:val="00890DBC"/>
    <w:rsid w:val="008B404A"/>
    <w:rsid w:val="008B7BA5"/>
    <w:rsid w:val="008C2727"/>
    <w:rsid w:val="008C3BED"/>
    <w:rsid w:val="008C4347"/>
    <w:rsid w:val="008C55BA"/>
    <w:rsid w:val="008C6513"/>
    <w:rsid w:val="008D5213"/>
    <w:rsid w:val="008D5CE7"/>
    <w:rsid w:val="008D7BB8"/>
    <w:rsid w:val="008E3B0E"/>
    <w:rsid w:val="008F0D1F"/>
    <w:rsid w:val="008F284D"/>
    <w:rsid w:val="00900113"/>
    <w:rsid w:val="00900873"/>
    <w:rsid w:val="00916952"/>
    <w:rsid w:val="00916EBE"/>
    <w:rsid w:val="00917318"/>
    <w:rsid w:val="00923063"/>
    <w:rsid w:val="009365A7"/>
    <w:rsid w:val="00937F12"/>
    <w:rsid w:val="00941018"/>
    <w:rsid w:val="00945472"/>
    <w:rsid w:val="00947058"/>
    <w:rsid w:val="0095096C"/>
    <w:rsid w:val="00951C67"/>
    <w:rsid w:val="009608C1"/>
    <w:rsid w:val="00970E4B"/>
    <w:rsid w:val="0097489E"/>
    <w:rsid w:val="00976A06"/>
    <w:rsid w:val="009835D9"/>
    <w:rsid w:val="00983A5A"/>
    <w:rsid w:val="00984D34"/>
    <w:rsid w:val="009A21DB"/>
    <w:rsid w:val="009A6584"/>
    <w:rsid w:val="009A7462"/>
    <w:rsid w:val="009B0161"/>
    <w:rsid w:val="009B205B"/>
    <w:rsid w:val="009B7A40"/>
    <w:rsid w:val="009C1524"/>
    <w:rsid w:val="009C759F"/>
    <w:rsid w:val="009D0100"/>
    <w:rsid w:val="009D106F"/>
    <w:rsid w:val="009D6D1A"/>
    <w:rsid w:val="009E44F1"/>
    <w:rsid w:val="009E5E27"/>
    <w:rsid w:val="009F26BB"/>
    <w:rsid w:val="009F69B6"/>
    <w:rsid w:val="009F7346"/>
    <w:rsid w:val="00A049DF"/>
    <w:rsid w:val="00A10C7D"/>
    <w:rsid w:val="00A133D4"/>
    <w:rsid w:val="00A13775"/>
    <w:rsid w:val="00A23240"/>
    <w:rsid w:val="00A26C13"/>
    <w:rsid w:val="00A27397"/>
    <w:rsid w:val="00A34828"/>
    <w:rsid w:val="00A36B94"/>
    <w:rsid w:val="00A4383C"/>
    <w:rsid w:val="00A54CB0"/>
    <w:rsid w:val="00A55238"/>
    <w:rsid w:val="00A55FE2"/>
    <w:rsid w:val="00A636D2"/>
    <w:rsid w:val="00A71F69"/>
    <w:rsid w:val="00A73B0F"/>
    <w:rsid w:val="00A756ED"/>
    <w:rsid w:val="00A85A14"/>
    <w:rsid w:val="00A97F12"/>
    <w:rsid w:val="00AA7331"/>
    <w:rsid w:val="00AB01F6"/>
    <w:rsid w:val="00AB2D90"/>
    <w:rsid w:val="00AB4E23"/>
    <w:rsid w:val="00AB61B2"/>
    <w:rsid w:val="00AC0FA5"/>
    <w:rsid w:val="00AD29B0"/>
    <w:rsid w:val="00AD389E"/>
    <w:rsid w:val="00AD6714"/>
    <w:rsid w:val="00AF443E"/>
    <w:rsid w:val="00B04DFE"/>
    <w:rsid w:val="00B11FE2"/>
    <w:rsid w:val="00B2118E"/>
    <w:rsid w:val="00B25BA7"/>
    <w:rsid w:val="00B266F7"/>
    <w:rsid w:val="00B32DE3"/>
    <w:rsid w:val="00B40950"/>
    <w:rsid w:val="00B4104F"/>
    <w:rsid w:val="00B43E97"/>
    <w:rsid w:val="00B508B0"/>
    <w:rsid w:val="00B51694"/>
    <w:rsid w:val="00B55073"/>
    <w:rsid w:val="00B56723"/>
    <w:rsid w:val="00B56CC4"/>
    <w:rsid w:val="00B57500"/>
    <w:rsid w:val="00B74C6E"/>
    <w:rsid w:val="00B81FAE"/>
    <w:rsid w:val="00B9152F"/>
    <w:rsid w:val="00B97D4D"/>
    <w:rsid w:val="00BA152B"/>
    <w:rsid w:val="00BA464C"/>
    <w:rsid w:val="00BB3B8D"/>
    <w:rsid w:val="00BC1682"/>
    <w:rsid w:val="00BC35E7"/>
    <w:rsid w:val="00BC4138"/>
    <w:rsid w:val="00BD0532"/>
    <w:rsid w:val="00BE2FCF"/>
    <w:rsid w:val="00BE48BA"/>
    <w:rsid w:val="00BE49D0"/>
    <w:rsid w:val="00BE4BF0"/>
    <w:rsid w:val="00BE5008"/>
    <w:rsid w:val="00BE7FCC"/>
    <w:rsid w:val="00BF0E73"/>
    <w:rsid w:val="00C06F31"/>
    <w:rsid w:val="00C11492"/>
    <w:rsid w:val="00C25898"/>
    <w:rsid w:val="00C44DFB"/>
    <w:rsid w:val="00C52823"/>
    <w:rsid w:val="00C73BD9"/>
    <w:rsid w:val="00C749C7"/>
    <w:rsid w:val="00C763BB"/>
    <w:rsid w:val="00C779F6"/>
    <w:rsid w:val="00C85A13"/>
    <w:rsid w:val="00C930C4"/>
    <w:rsid w:val="00CA1F77"/>
    <w:rsid w:val="00CB0413"/>
    <w:rsid w:val="00CB1757"/>
    <w:rsid w:val="00CB2784"/>
    <w:rsid w:val="00CB3692"/>
    <w:rsid w:val="00CD39FB"/>
    <w:rsid w:val="00CE0FC5"/>
    <w:rsid w:val="00CE32F0"/>
    <w:rsid w:val="00CE69D1"/>
    <w:rsid w:val="00CF677B"/>
    <w:rsid w:val="00D0214D"/>
    <w:rsid w:val="00D04763"/>
    <w:rsid w:val="00D22AFC"/>
    <w:rsid w:val="00D27242"/>
    <w:rsid w:val="00D3507E"/>
    <w:rsid w:val="00D45813"/>
    <w:rsid w:val="00D503DA"/>
    <w:rsid w:val="00D55D4D"/>
    <w:rsid w:val="00D61FA4"/>
    <w:rsid w:val="00D64ECB"/>
    <w:rsid w:val="00D819F4"/>
    <w:rsid w:val="00D831BC"/>
    <w:rsid w:val="00D85114"/>
    <w:rsid w:val="00D90301"/>
    <w:rsid w:val="00D91CA2"/>
    <w:rsid w:val="00D92D51"/>
    <w:rsid w:val="00DA1935"/>
    <w:rsid w:val="00DA2F32"/>
    <w:rsid w:val="00DA7EA4"/>
    <w:rsid w:val="00DB2A8D"/>
    <w:rsid w:val="00DB2F88"/>
    <w:rsid w:val="00DB4CFF"/>
    <w:rsid w:val="00DB72D0"/>
    <w:rsid w:val="00DC4797"/>
    <w:rsid w:val="00DC60AC"/>
    <w:rsid w:val="00DD11FB"/>
    <w:rsid w:val="00DD239B"/>
    <w:rsid w:val="00DD54E9"/>
    <w:rsid w:val="00DE05C3"/>
    <w:rsid w:val="00DE2003"/>
    <w:rsid w:val="00DF28E0"/>
    <w:rsid w:val="00DF3FD0"/>
    <w:rsid w:val="00E06063"/>
    <w:rsid w:val="00E21AA9"/>
    <w:rsid w:val="00E21C9E"/>
    <w:rsid w:val="00E31786"/>
    <w:rsid w:val="00E32706"/>
    <w:rsid w:val="00E3323B"/>
    <w:rsid w:val="00E377E9"/>
    <w:rsid w:val="00E4042F"/>
    <w:rsid w:val="00E41170"/>
    <w:rsid w:val="00E44946"/>
    <w:rsid w:val="00E54620"/>
    <w:rsid w:val="00E76B90"/>
    <w:rsid w:val="00E82988"/>
    <w:rsid w:val="00E85F22"/>
    <w:rsid w:val="00E868A6"/>
    <w:rsid w:val="00EA1F0C"/>
    <w:rsid w:val="00EB28B6"/>
    <w:rsid w:val="00EB3880"/>
    <w:rsid w:val="00EC11FD"/>
    <w:rsid w:val="00EC1FF8"/>
    <w:rsid w:val="00EC5692"/>
    <w:rsid w:val="00ED15DA"/>
    <w:rsid w:val="00ED1A7C"/>
    <w:rsid w:val="00ED3D95"/>
    <w:rsid w:val="00ED51F9"/>
    <w:rsid w:val="00ED5C63"/>
    <w:rsid w:val="00EE4E2A"/>
    <w:rsid w:val="00EF089A"/>
    <w:rsid w:val="00EF64E2"/>
    <w:rsid w:val="00F05716"/>
    <w:rsid w:val="00F11DFC"/>
    <w:rsid w:val="00F12B95"/>
    <w:rsid w:val="00F157D3"/>
    <w:rsid w:val="00F26133"/>
    <w:rsid w:val="00F31EC7"/>
    <w:rsid w:val="00F32189"/>
    <w:rsid w:val="00F40AFC"/>
    <w:rsid w:val="00F50A3C"/>
    <w:rsid w:val="00F51667"/>
    <w:rsid w:val="00F51A6B"/>
    <w:rsid w:val="00F529C1"/>
    <w:rsid w:val="00F63464"/>
    <w:rsid w:val="00F714AF"/>
    <w:rsid w:val="00F848CE"/>
    <w:rsid w:val="00F96CBD"/>
    <w:rsid w:val="00FA02FB"/>
    <w:rsid w:val="00FA07BC"/>
    <w:rsid w:val="00FA4B9C"/>
    <w:rsid w:val="00FA7EC0"/>
    <w:rsid w:val="00FB07AB"/>
    <w:rsid w:val="00FB6268"/>
    <w:rsid w:val="00FB6709"/>
    <w:rsid w:val="00FB6734"/>
    <w:rsid w:val="00FB7861"/>
    <w:rsid w:val="00FC7D50"/>
    <w:rsid w:val="00FD1FBF"/>
    <w:rsid w:val="00FD373C"/>
    <w:rsid w:val="00FD4C59"/>
    <w:rsid w:val="00FD4E3C"/>
    <w:rsid w:val="00FD7687"/>
    <w:rsid w:val="00FE02DB"/>
    <w:rsid w:val="00FE04B5"/>
    <w:rsid w:val="00FF3E96"/>
    <w:rsid w:val="00FF4CB1"/>
    <w:rsid w:val="00F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71E0"/>
    <w:pPr>
      <w:tabs>
        <w:tab w:val="center" w:pos="4680"/>
        <w:tab w:val="right" w:pos="9360"/>
      </w:tabs>
    </w:pPr>
  </w:style>
  <w:style w:type="character" w:customStyle="1" w:styleId="HeaderChar">
    <w:name w:val="Header Char"/>
    <w:basedOn w:val="DefaultParagraphFont"/>
    <w:link w:val="Header"/>
    <w:rsid w:val="006171E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3B9"/>
    <w:rPr>
      <w:color w:val="0563C1" w:themeColor="hyperlink"/>
      <w:u w:val="single"/>
    </w:rPr>
  </w:style>
  <w:style w:type="character" w:styleId="FollowedHyperlink">
    <w:name w:val="FollowedHyperlink"/>
    <w:basedOn w:val="DefaultParagraphFont"/>
    <w:uiPriority w:val="99"/>
    <w:semiHidden/>
    <w:unhideWhenUsed/>
    <w:rsid w:val="00FB7861"/>
    <w:rPr>
      <w:color w:val="954F72" w:themeColor="followedHyperlink"/>
      <w:u w:val="single"/>
    </w:rPr>
  </w:style>
  <w:style w:type="character" w:customStyle="1" w:styleId="UnresolvedMention">
    <w:name w:val="Unresolved Mention"/>
    <w:basedOn w:val="DefaultParagraphFont"/>
    <w:uiPriority w:val="99"/>
    <w:semiHidden/>
    <w:unhideWhenUsed/>
    <w:rsid w:val="00E411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71E0"/>
    <w:pPr>
      <w:tabs>
        <w:tab w:val="center" w:pos="4680"/>
        <w:tab w:val="right" w:pos="9360"/>
      </w:tabs>
    </w:pPr>
  </w:style>
  <w:style w:type="character" w:customStyle="1" w:styleId="HeaderChar">
    <w:name w:val="Header Char"/>
    <w:basedOn w:val="DefaultParagraphFont"/>
    <w:link w:val="Header"/>
    <w:rsid w:val="006171E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3B9"/>
    <w:rPr>
      <w:color w:val="0563C1" w:themeColor="hyperlink"/>
      <w:u w:val="single"/>
    </w:rPr>
  </w:style>
  <w:style w:type="character" w:styleId="FollowedHyperlink">
    <w:name w:val="FollowedHyperlink"/>
    <w:basedOn w:val="DefaultParagraphFont"/>
    <w:uiPriority w:val="99"/>
    <w:semiHidden/>
    <w:unhideWhenUsed/>
    <w:rsid w:val="00FB7861"/>
    <w:rPr>
      <w:color w:val="954F72" w:themeColor="followedHyperlink"/>
      <w:u w:val="single"/>
    </w:rPr>
  </w:style>
  <w:style w:type="character" w:customStyle="1" w:styleId="UnresolvedMention">
    <w:name w:val="Unresolved Mention"/>
    <w:basedOn w:val="DefaultParagraphFont"/>
    <w:uiPriority w:val="99"/>
    <w:semiHidden/>
    <w:unhideWhenUsed/>
    <w:rsid w:val="00E4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jxx.0000000000000571" TargetMode="External"/><Relationship Id="rId13" Type="http://schemas.openxmlformats.org/officeDocument/2006/relationships/hyperlink" Target="https://doi.org/10.1016/j.nurpra.2020.11.009" TargetMode="External"/><Relationship Id="rId3" Type="http://schemas.openxmlformats.org/officeDocument/2006/relationships/settings" Target="settings.xml"/><Relationship Id="rId7" Type="http://schemas.openxmlformats.org/officeDocument/2006/relationships/hyperlink" Target="https://doi.org/10.1186/s12960-020-0451-8" TargetMode="External"/><Relationship Id="rId12" Type="http://schemas.openxmlformats.org/officeDocument/2006/relationships/hyperlink" Target="https://doi.org/10.1186/s12875-021-01425-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11/nuf.12579" TargetMode="External"/><Relationship Id="rId11" Type="http://schemas.openxmlformats.org/officeDocument/2006/relationships/hyperlink" Target="https://doi.org/10.1016/j.enfcli.2019.04.045" TargetMode="External"/><Relationship Id="rId5" Type="http://schemas.openxmlformats.org/officeDocument/2006/relationships/hyperlink" Target="https://doi.org/10.1002/nop2.936" TargetMode="External"/><Relationship Id="rId15" Type="http://schemas.openxmlformats.org/officeDocument/2006/relationships/fontTable" Target="fontTable.xml"/><Relationship Id="rId10" Type="http://schemas.openxmlformats.org/officeDocument/2006/relationships/hyperlink" Target="https://doi.org/10.1186/s12960-020-00469-9" TargetMode="External"/><Relationship Id="rId4" Type="http://schemas.openxmlformats.org/officeDocument/2006/relationships/webSettings" Target="webSettings.xml"/><Relationship Id="rId9" Type="http://schemas.openxmlformats.org/officeDocument/2006/relationships/hyperlink" Target="https://doi.org/10.1001/jamainternmed.2019.6326" TargetMode="External"/><Relationship Id="rId14" Type="http://schemas.openxmlformats.org/officeDocument/2006/relationships/hyperlink" Target="https://doi.org/10.1016/j.ssmph.2021.10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jmdalton</dc:creator>
  <cp:lastModifiedBy>William</cp:lastModifiedBy>
  <cp:revision>26</cp:revision>
  <dcterms:created xsi:type="dcterms:W3CDTF">2022-09-30T08:52:00Z</dcterms:created>
  <dcterms:modified xsi:type="dcterms:W3CDTF">2022-09-30T13:35:00Z</dcterms:modified>
</cp:coreProperties>
</file>