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0432C" w14:textId="77777777" w:rsidR="001F57BD" w:rsidRPr="00BE5BE7" w:rsidRDefault="001F57BD" w:rsidP="00BE5BE7">
      <w:pPr>
        <w:contextualSpacing/>
        <w:jc w:val="center"/>
        <w:rPr>
          <w:rFonts w:ascii="Times New Roman" w:hAnsi="Times New Roman" w:cs="Times New Roman"/>
          <w:sz w:val="24"/>
          <w:szCs w:val="24"/>
        </w:rPr>
      </w:pPr>
    </w:p>
    <w:p w14:paraId="32FB9E6B" w14:textId="77777777" w:rsidR="007111BD" w:rsidRPr="00BE5BE7" w:rsidRDefault="007111BD" w:rsidP="00BE5BE7">
      <w:pPr>
        <w:contextualSpacing/>
        <w:jc w:val="center"/>
        <w:rPr>
          <w:rFonts w:ascii="Times New Roman" w:hAnsi="Times New Roman" w:cs="Times New Roman"/>
          <w:sz w:val="24"/>
          <w:szCs w:val="24"/>
        </w:rPr>
      </w:pPr>
    </w:p>
    <w:p w14:paraId="6867C251" w14:textId="77777777" w:rsidR="007111BD" w:rsidRPr="00BE5BE7" w:rsidRDefault="007111BD" w:rsidP="00BE5BE7">
      <w:pPr>
        <w:contextualSpacing/>
        <w:jc w:val="center"/>
        <w:rPr>
          <w:rFonts w:ascii="Times New Roman" w:hAnsi="Times New Roman" w:cs="Times New Roman"/>
          <w:sz w:val="24"/>
          <w:szCs w:val="24"/>
        </w:rPr>
      </w:pPr>
    </w:p>
    <w:p w14:paraId="7CE8357E" w14:textId="77777777" w:rsidR="007111BD" w:rsidRPr="00BE5BE7" w:rsidRDefault="007111BD" w:rsidP="00BE5BE7">
      <w:pPr>
        <w:contextualSpacing/>
        <w:rPr>
          <w:rFonts w:ascii="Times New Roman" w:hAnsi="Times New Roman" w:cs="Times New Roman"/>
          <w:sz w:val="24"/>
          <w:szCs w:val="24"/>
        </w:rPr>
      </w:pPr>
    </w:p>
    <w:p w14:paraId="55A98175" w14:textId="77777777" w:rsidR="007C4264" w:rsidRPr="00BE5BE7" w:rsidRDefault="007C4264" w:rsidP="00BE5BE7">
      <w:pPr>
        <w:contextualSpacing/>
        <w:jc w:val="center"/>
        <w:rPr>
          <w:rFonts w:ascii="Times New Roman" w:hAnsi="Times New Roman" w:cs="Times New Roman"/>
          <w:b/>
          <w:bCs/>
          <w:sz w:val="24"/>
          <w:szCs w:val="24"/>
        </w:rPr>
      </w:pPr>
    </w:p>
    <w:p w14:paraId="3DBF4138" w14:textId="2340A568" w:rsidR="007111BD" w:rsidRPr="00BE5BE7" w:rsidRDefault="00D40B53" w:rsidP="00BE5BE7">
      <w:pPr>
        <w:contextualSpacing/>
        <w:jc w:val="center"/>
        <w:rPr>
          <w:rFonts w:ascii="Times New Roman" w:hAnsi="Times New Roman" w:cs="Times New Roman"/>
          <w:b/>
          <w:bCs/>
          <w:sz w:val="24"/>
          <w:szCs w:val="24"/>
        </w:rPr>
      </w:pPr>
      <w:r w:rsidRPr="00BE5BE7">
        <w:rPr>
          <w:rFonts w:ascii="Times New Roman" w:hAnsi="Times New Roman" w:cs="Times New Roman"/>
          <w:b/>
          <w:bCs/>
          <w:sz w:val="24"/>
          <w:szCs w:val="24"/>
        </w:rPr>
        <w:t xml:space="preserve">Week 15 Transition to Practice </w:t>
      </w:r>
      <w:r w:rsidR="00EF775C" w:rsidRPr="00BE5BE7">
        <w:rPr>
          <w:rFonts w:ascii="Times New Roman" w:hAnsi="Times New Roman" w:cs="Times New Roman"/>
          <w:b/>
          <w:bCs/>
          <w:sz w:val="24"/>
          <w:szCs w:val="24"/>
        </w:rPr>
        <w:t xml:space="preserve"> </w:t>
      </w:r>
      <w:r w:rsidR="007C4264" w:rsidRPr="00BE5BE7">
        <w:rPr>
          <w:rFonts w:ascii="Times New Roman" w:hAnsi="Times New Roman" w:cs="Times New Roman"/>
          <w:b/>
          <w:bCs/>
          <w:sz w:val="24"/>
          <w:szCs w:val="24"/>
        </w:rPr>
        <w:t xml:space="preserve"> </w:t>
      </w:r>
    </w:p>
    <w:p w14:paraId="2A80E64F" w14:textId="77777777" w:rsidR="007111BD" w:rsidRPr="00BE5BE7" w:rsidRDefault="007111BD" w:rsidP="00BE5BE7">
      <w:pPr>
        <w:contextualSpacing/>
        <w:jc w:val="center"/>
        <w:rPr>
          <w:rFonts w:ascii="Times New Roman" w:hAnsi="Times New Roman" w:cs="Times New Roman"/>
          <w:b/>
          <w:bCs/>
          <w:sz w:val="24"/>
          <w:szCs w:val="24"/>
        </w:rPr>
      </w:pPr>
    </w:p>
    <w:p w14:paraId="46674FA3" w14:textId="77777777" w:rsidR="007111BD" w:rsidRPr="00BE5BE7" w:rsidRDefault="007111BD" w:rsidP="00BE5BE7">
      <w:pPr>
        <w:contextualSpacing/>
        <w:jc w:val="center"/>
        <w:rPr>
          <w:rFonts w:ascii="Times New Roman" w:hAnsi="Times New Roman" w:cs="Times New Roman"/>
          <w:sz w:val="24"/>
          <w:szCs w:val="24"/>
        </w:rPr>
      </w:pPr>
      <w:r w:rsidRPr="00BE5BE7">
        <w:rPr>
          <w:rFonts w:ascii="Times New Roman" w:hAnsi="Times New Roman" w:cs="Times New Roman"/>
          <w:sz w:val="24"/>
          <w:szCs w:val="24"/>
        </w:rPr>
        <w:t xml:space="preserve">Student’s Name </w:t>
      </w:r>
    </w:p>
    <w:p w14:paraId="0466ECB8" w14:textId="77777777" w:rsidR="007111BD" w:rsidRPr="00BE5BE7" w:rsidRDefault="007111BD" w:rsidP="00BE5BE7">
      <w:pPr>
        <w:contextualSpacing/>
        <w:jc w:val="center"/>
        <w:rPr>
          <w:rFonts w:ascii="Times New Roman" w:hAnsi="Times New Roman" w:cs="Times New Roman"/>
          <w:sz w:val="24"/>
          <w:szCs w:val="24"/>
        </w:rPr>
      </w:pPr>
      <w:r w:rsidRPr="00BE5BE7">
        <w:rPr>
          <w:rFonts w:ascii="Times New Roman" w:hAnsi="Times New Roman" w:cs="Times New Roman"/>
          <w:sz w:val="24"/>
          <w:szCs w:val="24"/>
        </w:rPr>
        <w:t>Department Affiliation, University Affiliation</w:t>
      </w:r>
    </w:p>
    <w:p w14:paraId="7B9413C6" w14:textId="77777777" w:rsidR="007111BD" w:rsidRPr="00BE5BE7" w:rsidRDefault="007111BD" w:rsidP="00BE5BE7">
      <w:pPr>
        <w:contextualSpacing/>
        <w:jc w:val="center"/>
        <w:rPr>
          <w:rFonts w:ascii="Times New Roman" w:hAnsi="Times New Roman" w:cs="Times New Roman"/>
          <w:sz w:val="24"/>
          <w:szCs w:val="24"/>
        </w:rPr>
      </w:pPr>
      <w:r w:rsidRPr="00BE5BE7">
        <w:rPr>
          <w:rFonts w:ascii="Times New Roman" w:hAnsi="Times New Roman" w:cs="Times New Roman"/>
          <w:sz w:val="24"/>
          <w:szCs w:val="24"/>
        </w:rPr>
        <w:t>Course Number: Course Name</w:t>
      </w:r>
    </w:p>
    <w:p w14:paraId="7AC79753" w14:textId="77777777" w:rsidR="007111BD" w:rsidRPr="00BE5BE7" w:rsidRDefault="007111BD" w:rsidP="00BE5BE7">
      <w:pPr>
        <w:contextualSpacing/>
        <w:jc w:val="center"/>
        <w:rPr>
          <w:rFonts w:ascii="Times New Roman" w:hAnsi="Times New Roman" w:cs="Times New Roman"/>
          <w:sz w:val="24"/>
          <w:szCs w:val="24"/>
        </w:rPr>
      </w:pPr>
      <w:r w:rsidRPr="00BE5BE7">
        <w:rPr>
          <w:rFonts w:ascii="Times New Roman" w:hAnsi="Times New Roman" w:cs="Times New Roman"/>
          <w:sz w:val="24"/>
          <w:szCs w:val="24"/>
        </w:rPr>
        <w:t>Instructor’s Name</w:t>
      </w:r>
    </w:p>
    <w:p w14:paraId="560549DB" w14:textId="77777777" w:rsidR="007111BD" w:rsidRPr="00BE5BE7" w:rsidRDefault="007111BD" w:rsidP="00BE5BE7">
      <w:pPr>
        <w:contextualSpacing/>
        <w:jc w:val="center"/>
        <w:rPr>
          <w:rFonts w:ascii="Times New Roman" w:hAnsi="Times New Roman" w:cs="Times New Roman"/>
          <w:sz w:val="24"/>
          <w:szCs w:val="24"/>
        </w:rPr>
      </w:pPr>
      <w:r w:rsidRPr="00BE5BE7">
        <w:rPr>
          <w:rFonts w:ascii="Times New Roman" w:hAnsi="Times New Roman" w:cs="Times New Roman"/>
          <w:sz w:val="24"/>
          <w:szCs w:val="24"/>
        </w:rPr>
        <w:t>Assignment Due Date</w:t>
      </w:r>
    </w:p>
    <w:p w14:paraId="3E649B04" w14:textId="77777777" w:rsidR="007111BD" w:rsidRPr="00BE5BE7" w:rsidRDefault="007111BD" w:rsidP="00BE5BE7">
      <w:pPr>
        <w:contextualSpacing/>
        <w:jc w:val="center"/>
        <w:rPr>
          <w:rFonts w:ascii="Times New Roman" w:hAnsi="Times New Roman" w:cs="Times New Roman"/>
          <w:sz w:val="24"/>
          <w:szCs w:val="24"/>
        </w:rPr>
      </w:pPr>
    </w:p>
    <w:p w14:paraId="53BFA548" w14:textId="77777777" w:rsidR="007111BD" w:rsidRPr="00BE5BE7" w:rsidRDefault="007111BD" w:rsidP="00BE5BE7">
      <w:pPr>
        <w:contextualSpacing/>
        <w:jc w:val="center"/>
        <w:rPr>
          <w:rFonts w:ascii="Times New Roman" w:hAnsi="Times New Roman" w:cs="Times New Roman"/>
          <w:sz w:val="24"/>
          <w:szCs w:val="24"/>
        </w:rPr>
      </w:pPr>
    </w:p>
    <w:p w14:paraId="4CD1FCFE" w14:textId="77777777" w:rsidR="007111BD" w:rsidRPr="00BE5BE7" w:rsidRDefault="007111BD" w:rsidP="00BE5BE7">
      <w:pPr>
        <w:contextualSpacing/>
        <w:jc w:val="center"/>
        <w:rPr>
          <w:rFonts w:ascii="Times New Roman" w:hAnsi="Times New Roman" w:cs="Times New Roman"/>
          <w:sz w:val="24"/>
          <w:szCs w:val="24"/>
        </w:rPr>
      </w:pPr>
    </w:p>
    <w:p w14:paraId="6656D24B" w14:textId="77777777" w:rsidR="007111BD" w:rsidRPr="00BE5BE7" w:rsidRDefault="007111BD" w:rsidP="00BE5BE7">
      <w:pPr>
        <w:contextualSpacing/>
        <w:jc w:val="center"/>
        <w:rPr>
          <w:rFonts w:ascii="Times New Roman" w:hAnsi="Times New Roman" w:cs="Times New Roman"/>
          <w:sz w:val="24"/>
          <w:szCs w:val="24"/>
        </w:rPr>
      </w:pPr>
    </w:p>
    <w:p w14:paraId="298BC25A" w14:textId="77777777" w:rsidR="007111BD" w:rsidRPr="00BE5BE7" w:rsidRDefault="007111BD" w:rsidP="00BE5BE7">
      <w:pPr>
        <w:contextualSpacing/>
        <w:jc w:val="center"/>
        <w:rPr>
          <w:rFonts w:ascii="Times New Roman" w:hAnsi="Times New Roman" w:cs="Times New Roman"/>
          <w:sz w:val="24"/>
          <w:szCs w:val="24"/>
        </w:rPr>
      </w:pPr>
    </w:p>
    <w:p w14:paraId="663B3726" w14:textId="77777777" w:rsidR="007111BD" w:rsidRPr="00BE5BE7" w:rsidRDefault="007111BD" w:rsidP="00BE5BE7">
      <w:pPr>
        <w:contextualSpacing/>
        <w:jc w:val="center"/>
        <w:rPr>
          <w:rFonts w:ascii="Times New Roman" w:hAnsi="Times New Roman" w:cs="Times New Roman"/>
          <w:sz w:val="24"/>
          <w:szCs w:val="24"/>
        </w:rPr>
      </w:pPr>
    </w:p>
    <w:p w14:paraId="38C520C9" w14:textId="77777777" w:rsidR="007111BD" w:rsidRPr="00BE5BE7" w:rsidRDefault="007111BD" w:rsidP="00BE5BE7">
      <w:pPr>
        <w:contextualSpacing/>
        <w:jc w:val="center"/>
        <w:rPr>
          <w:rFonts w:ascii="Times New Roman" w:hAnsi="Times New Roman" w:cs="Times New Roman"/>
          <w:sz w:val="24"/>
          <w:szCs w:val="24"/>
        </w:rPr>
      </w:pPr>
    </w:p>
    <w:p w14:paraId="5256EBC1" w14:textId="77777777" w:rsidR="007111BD" w:rsidRPr="00BE5BE7" w:rsidRDefault="007111BD" w:rsidP="00BE5BE7">
      <w:pPr>
        <w:contextualSpacing/>
        <w:jc w:val="center"/>
        <w:rPr>
          <w:rFonts w:ascii="Times New Roman" w:hAnsi="Times New Roman" w:cs="Times New Roman"/>
          <w:sz w:val="24"/>
          <w:szCs w:val="24"/>
        </w:rPr>
      </w:pPr>
    </w:p>
    <w:p w14:paraId="5364F5CB" w14:textId="77777777" w:rsidR="007111BD" w:rsidRPr="00BE5BE7" w:rsidRDefault="007111BD" w:rsidP="00BE5BE7">
      <w:pPr>
        <w:contextualSpacing/>
        <w:jc w:val="center"/>
        <w:rPr>
          <w:rFonts w:ascii="Times New Roman" w:hAnsi="Times New Roman" w:cs="Times New Roman"/>
          <w:sz w:val="24"/>
          <w:szCs w:val="24"/>
        </w:rPr>
      </w:pPr>
    </w:p>
    <w:p w14:paraId="377A94EB" w14:textId="77777777" w:rsidR="007111BD" w:rsidRPr="00BE5BE7" w:rsidRDefault="007111BD" w:rsidP="00BE5BE7">
      <w:pPr>
        <w:contextualSpacing/>
        <w:jc w:val="center"/>
        <w:rPr>
          <w:rFonts w:ascii="Times New Roman" w:hAnsi="Times New Roman" w:cs="Times New Roman"/>
          <w:sz w:val="24"/>
          <w:szCs w:val="24"/>
        </w:rPr>
      </w:pPr>
    </w:p>
    <w:p w14:paraId="18DE06EE" w14:textId="77777777" w:rsidR="007111BD" w:rsidRPr="00BE5BE7" w:rsidRDefault="007111BD" w:rsidP="00BE5BE7">
      <w:pPr>
        <w:contextualSpacing/>
        <w:jc w:val="center"/>
        <w:rPr>
          <w:rFonts w:ascii="Times New Roman" w:hAnsi="Times New Roman" w:cs="Times New Roman"/>
          <w:sz w:val="24"/>
          <w:szCs w:val="24"/>
        </w:rPr>
      </w:pPr>
    </w:p>
    <w:p w14:paraId="1F4AEB58" w14:textId="77777777" w:rsidR="003F6F54" w:rsidRPr="00BE5BE7" w:rsidRDefault="00D40B53" w:rsidP="00BE5BE7">
      <w:pPr>
        <w:contextualSpacing/>
        <w:jc w:val="center"/>
        <w:rPr>
          <w:rFonts w:ascii="Times New Roman" w:hAnsi="Times New Roman" w:cs="Times New Roman"/>
          <w:b/>
          <w:bCs/>
          <w:sz w:val="24"/>
          <w:szCs w:val="24"/>
        </w:rPr>
      </w:pPr>
      <w:r w:rsidRPr="00BE5BE7">
        <w:rPr>
          <w:rFonts w:ascii="Times New Roman" w:hAnsi="Times New Roman" w:cs="Times New Roman"/>
          <w:b/>
          <w:bCs/>
          <w:sz w:val="24"/>
          <w:szCs w:val="24"/>
        </w:rPr>
        <w:lastRenderedPageBreak/>
        <w:t xml:space="preserve">Week 15 Transition to Practice </w:t>
      </w:r>
    </w:p>
    <w:p w14:paraId="2DE004F5" w14:textId="77777777" w:rsidR="003F6F54" w:rsidRPr="00BE5BE7" w:rsidRDefault="00D40B53" w:rsidP="00BE5BE7">
      <w:pPr>
        <w:pStyle w:val="ListParagraph"/>
        <w:numPr>
          <w:ilvl w:val="0"/>
          <w:numId w:val="2"/>
        </w:numPr>
        <w:rPr>
          <w:rFonts w:ascii="Times New Roman" w:hAnsi="Times New Roman" w:cs="Times New Roman"/>
          <w:b/>
          <w:bCs/>
          <w:sz w:val="24"/>
          <w:szCs w:val="24"/>
        </w:rPr>
      </w:pPr>
      <w:r w:rsidRPr="00BE5BE7">
        <w:rPr>
          <w:rFonts w:ascii="Times New Roman" w:hAnsi="Times New Roman" w:cs="Times New Roman"/>
          <w:b/>
          <w:bCs/>
          <w:sz w:val="24"/>
          <w:szCs w:val="24"/>
        </w:rPr>
        <w:t>State for license</w:t>
      </w:r>
      <w:r w:rsidR="003F6F54" w:rsidRPr="00BE5BE7">
        <w:rPr>
          <w:rFonts w:ascii="Times New Roman" w:hAnsi="Times New Roman" w:cs="Times New Roman"/>
          <w:b/>
          <w:bCs/>
          <w:sz w:val="24"/>
          <w:szCs w:val="24"/>
        </w:rPr>
        <w:t>.</w:t>
      </w:r>
      <w:r w:rsidR="003F6F54" w:rsidRPr="00BE5BE7">
        <w:rPr>
          <w:rFonts w:ascii="Times New Roman" w:hAnsi="Times New Roman" w:cs="Times New Roman"/>
          <w:sz w:val="24"/>
          <w:szCs w:val="24"/>
        </w:rPr>
        <w:t xml:space="preserve"> Maryland is the chosen state for </w:t>
      </w:r>
      <w:proofErr w:type="gramStart"/>
      <w:r w:rsidR="003F6F54" w:rsidRPr="00BE5BE7">
        <w:rPr>
          <w:rFonts w:ascii="Times New Roman" w:hAnsi="Times New Roman" w:cs="Times New Roman"/>
          <w:sz w:val="24"/>
          <w:szCs w:val="24"/>
        </w:rPr>
        <w:t>licensure</w:t>
      </w:r>
      <w:proofErr w:type="gramEnd"/>
      <w:r w:rsidR="003F6F54" w:rsidRPr="00BE5BE7">
        <w:rPr>
          <w:rFonts w:ascii="Times New Roman" w:hAnsi="Times New Roman" w:cs="Times New Roman"/>
          <w:sz w:val="24"/>
          <w:szCs w:val="24"/>
        </w:rPr>
        <w:t xml:space="preserve"> </w:t>
      </w:r>
    </w:p>
    <w:p w14:paraId="54272FB9" w14:textId="1A659D8F" w:rsidR="005E3E60" w:rsidRPr="00BE5BE7" w:rsidRDefault="00D40B53" w:rsidP="00BE5BE7">
      <w:pPr>
        <w:pStyle w:val="ListParagraph"/>
        <w:numPr>
          <w:ilvl w:val="0"/>
          <w:numId w:val="2"/>
        </w:numPr>
        <w:rPr>
          <w:rFonts w:ascii="Times New Roman" w:hAnsi="Times New Roman" w:cs="Times New Roman"/>
          <w:b/>
          <w:bCs/>
          <w:sz w:val="24"/>
          <w:szCs w:val="24"/>
        </w:rPr>
      </w:pPr>
      <w:r w:rsidRPr="00BE5BE7">
        <w:rPr>
          <w:rFonts w:ascii="Times New Roman" w:hAnsi="Times New Roman" w:cs="Times New Roman"/>
          <w:b/>
          <w:bCs/>
          <w:sz w:val="24"/>
          <w:szCs w:val="24"/>
        </w:rPr>
        <w:t>ANCC: What is the application process and eligibility for the PMHNP exam?</w:t>
      </w:r>
      <w:r w:rsidR="00B3477B" w:rsidRPr="00BE5BE7">
        <w:rPr>
          <w:rFonts w:ascii="Times New Roman" w:hAnsi="Times New Roman" w:cs="Times New Roman"/>
          <w:b/>
          <w:bCs/>
          <w:sz w:val="24"/>
          <w:szCs w:val="24"/>
        </w:rPr>
        <w:t xml:space="preserve"> </w:t>
      </w:r>
      <w:r w:rsidR="00FC5358" w:rsidRPr="00BE5BE7">
        <w:rPr>
          <w:rFonts w:ascii="Times New Roman" w:hAnsi="Times New Roman" w:cs="Times New Roman"/>
          <w:sz w:val="24"/>
          <w:szCs w:val="24"/>
        </w:rPr>
        <w:t xml:space="preserve">The American Nurses Credentialing Center (ANCC) offers certification and credentials for nurses in various specialties, including psychiatric-mental health nursing. </w:t>
      </w:r>
      <w:r w:rsidR="00B1276F" w:rsidRPr="00BE5BE7">
        <w:rPr>
          <w:rFonts w:ascii="Times New Roman" w:hAnsi="Times New Roman" w:cs="Times New Roman"/>
          <w:sz w:val="24"/>
          <w:szCs w:val="24"/>
        </w:rPr>
        <w:t>Eligibility criteria for ANCC certification include a current, active registered nurse (RN) licensure; an MSN, post-graduate certificate or DNP from a PMHNP program; a minimum of 500 supervised clinical hours in a PMHNP program; and completion of three separate, graduate-level courses in advanced physiology/pathophysiology, advanced health assessment and advanced pharmacology. Nurses who meet these requirements apply for certification by sending verification documents. Successful nurses sit for the ANCC Psychiatric-Mental Health Nurse Practitioner (Across the Lifespan) board certification examination. The next step after taking the exam is to wait for official certification before applying for licensure with the domiciled state board of nursing (BON</w:t>
      </w:r>
      <w:r w:rsidR="005E3E60" w:rsidRPr="00BE5BE7">
        <w:rPr>
          <w:rFonts w:ascii="Times New Roman" w:hAnsi="Times New Roman" w:cs="Times New Roman"/>
          <w:sz w:val="24"/>
          <w:szCs w:val="24"/>
        </w:rPr>
        <w:t>). Requirements for BON certification varies across states (</w:t>
      </w:r>
      <w:r w:rsidR="00A2397E" w:rsidRPr="00BE5BE7">
        <w:rPr>
          <w:rFonts w:ascii="Times New Roman" w:hAnsi="Times New Roman" w:cs="Times New Roman"/>
          <w:sz w:val="24"/>
          <w:szCs w:val="24"/>
        </w:rPr>
        <w:t>Phillips, 2018</w:t>
      </w:r>
      <w:r w:rsidR="005E3E60" w:rsidRPr="00BE5BE7">
        <w:rPr>
          <w:rFonts w:ascii="Times New Roman" w:hAnsi="Times New Roman" w:cs="Times New Roman"/>
          <w:sz w:val="24"/>
          <w:szCs w:val="24"/>
        </w:rPr>
        <w:t>)</w:t>
      </w:r>
    </w:p>
    <w:p w14:paraId="4BD34763" w14:textId="469593D8" w:rsidR="005E3E60" w:rsidRPr="00BE5BE7" w:rsidRDefault="00D40B53" w:rsidP="00BE5BE7">
      <w:pPr>
        <w:pStyle w:val="ListParagraph"/>
        <w:numPr>
          <w:ilvl w:val="0"/>
          <w:numId w:val="2"/>
        </w:numPr>
        <w:rPr>
          <w:rFonts w:ascii="Times New Roman" w:hAnsi="Times New Roman" w:cs="Times New Roman"/>
          <w:b/>
          <w:bCs/>
          <w:sz w:val="24"/>
          <w:szCs w:val="24"/>
        </w:rPr>
      </w:pPr>
      <w:r w:rsidRPr="00BE5BE7">
        <w:rPr>
          <w:rFonts w:ascii="Times New Roman" w:hAnsi="Times New Roman" w:cs="Times New Roman"/>
          <w:b/>
          <w:bCs/>
          <w:sz w:val="24"/>
          <w:szCs w:val="24"/>
        </w:rPr>
        <w:t>What are your preparations for the ANCC Board certification exam?</w:t>
      </w:r>
      <w:r w:rsidR="005261FE" w:rsidRPr="00BE5BE7">
        <w:rPr>
          <w:rFonts w:ascii="Times New Roman" w:hAnsi="Times New Roman" w:cs="Times New Roman"/>
          <w:b/>
          <w:bCs/>
          <w:sz w:val="24"/>
          <w:szCs w:val="24"/>
        </w:rPr>
        <w:t xml:space="preserve"> </w:t>
      </w:r>
      <w:r w:rsidR="005261FE" w:rsidRPr="00BE5BE7">
        <w:rPr>
          <w:rFonts w:ascii="Times New Roman" w:hAnsi="Times New Roman" w:cs="Times New Roman"/>
          <w:sz w:val="24"/>
          <w:szCs w:val="24"/>
        </w:rPr>
        <w:t xml:space="preserve">I </w:t>
      </w:r>
      <w:r w:rsidR="00BE4CA4" w:rsidRPr="00BE5BE7">
        <w:rPr>
          <w:rFonts w:ascii="Times New Roman" w:hAnsi="Times New Roman" w:cs="Times New Roman"/>
          <w:sz w:val="24"/>
          <w:szCs w:val="24"/>
        </w:rPr>
        <w:t>have developed a formal study plan that will help me to prepare for the ANCC Board certification exam</w:t>
      </w:r>
      <w:r w:rsidR="002C7E34" w:rsidRPr="00BE5BE7">
        <w:rPr>
          <w:rFonts w:ascii="Times New Roman" w:hAnsi="Times New Roman" w:cs="Times New Roman"/>
          <w:sz w:val="24"/>
          <w:szCs w:val="24"/>
        </w:rPr>
        <w:t xml:space="preserve">. The study plan covers about six months prior to the exam. The study plan includes a timetable, study materials, and resources that suit my needs. I have also registered with Kaplan to get access to valuable resources, especially model exams, that will ensure adequate preparation. </w:t>
      </w:r>
      <w:r w:rsidR="00890790" w:rsidRPr="00BE5BE7">
        <w:rPr>
          <w:rFonts w:ascii="Times New Roman" w:hAnsi="Times New Roman" w:cs="Times New Roman"/>
          <w:sz w:val="24"/>
          <w:szCs w:val="24"/>
        </w:rPr>
        <w:t xml:space="preserve">An important element of my study plan is to learn the structure of the exam, focusing on the </w:t>
      </w:r>
      <w:r w:rsidR="001960C6" w:rsidRPr="00BE5BE7">
        <w:rPr>
          <w:rFonts w:ascii="Times New Roman" w:hAnsi="Times New Roman" w:cs="Times New Roman"/>
          <w:sz w:val="24"/>
          <w:szCs w:val="24"/>
        </w:rPr>
        <w:t>content of the questions</w:t>
      </w:r>
      <w:r w:rsidR="00063044" w:rsidRPr="00BE5BE7">
        <w:rPr>
          <w:rFonts w:ascii="Times New Roman" w:hAnsi="Times New Roman" w:cs="Times New Roman"/>
          <w:sz w:val="24"/>
          <w:szCs w:val="24"/>
        </w:rPr>
        <w:t xml:space="preserve">, sample questions, topics, </w:t>
      </w:r>
      <w:r w:rsidR="00063044" w:rsidRPr="00BE5BE7">
        <w:rPr>
          <w:rFonts w:ascii="Times New Roman" w:hAnsi="Times New Roman" w:cs="Times New Roman"/>
          <w:sz w:val="24"/>
          <w:szCs w:val="24"/>
        </w:rPr>
        <w:lastRenderedPageBreak/>
        <w:t xml:space="preserve">and timing. I also plan to use resources from </w:t>
      </w:r>
      <w:hyperlink r:id="rId7" w:history="1">
        <w:r w:rsidR="00063044" w:rsidRPr="00BE5BE7">
          <w:rPr>
            <w:rStyle w:val="Hyperlink"/>
            <w:rFonts w:ascii="Times New Roman" w:hAnsi="Times New Roman" w:cs="Times New Roman"/>
            <w:color w:val="auto"/>
            <w:sz w:val="24"/>
            <w:szCs w:val="24"/>
          </w:rPr>
          <w:t>www.nursingworld.org/ancc</w:t>
        </w:r>
      </w:hyperlink>
      <w:r w:rsidR="00063044" w:rsidRPr="00BE5BE7">
        <w:rPr>
          <w:rFonts w:ascii="Times New Roman" w:hAnsi="Times New Roman" w:cs="Times New Roman"/>
          <w:sz w:val="24"/>
          <w:szCs w:val="24"/>
        </w:rPr>
        <w:t xml:space="preserve"> to pr</w:t>
      </w:r>
      <w:r w:rsidR="00114C6A" w:rsidRPr="00BE5BE7">
        <w:rPr>
          <w:rFonts w:ascii="Times New Roman" w:hAnsi="Times New Roman" w:cs="Times New Roman"/>
          <w:sz w:val="24"/>
          <w:szCs w:val="24"/>
        </w:rPr>
        <w:t xml:space="preserve">epare for the exam. </w:t>
      </w:r>
    </w:p>
    <w:p w14:paraId="2319E0A0" w14:textId="1EB352C6" w:rsidR="00A51B3B" w:rsidRPr="00BE5BE7" w:rsidRDefault="00D40B53" w:rsidP="00BE5BE7">
      <w:pPr>
        <w:pStyle w:val="ListParagraph"/>
        <w:numPr>
          <w:ilvl w:val="0"/>
          <w:numId w:val="2"/>
        </w:numPr>
        <w:rPr>
          <w:rFonts w:ascii="Times New Roman" w:hAnsi="Times New Roman" w:cs="Times New Roman"/>
          <w:b/>
          <w:bCs/>
          <w:sz w:val="24"/>
          <w:szCs w:val="24"/>
        </w:rPr>
      </w:pPr>
      <w:r w:rsidRPr="00BE5BE7">
        <w:rPr>
          <w:rFonts w:ascii="Times New Roman" w:hAnsi="Times New Roman" w:cs="Times New Roman"/>
          <w:b/>
          <w:bCs/>
          <w:sz w:val="24"/>
          <w:szCs w:val="24"/>
        </w:rPr>
        <w:t xml:space="preserve">Licensing: What state are you planning to initially license in? What are requirements and steps for license? </w:t>
      </w:r>
      <w:r w:rsidR="005E3E60" w:rsidRPr="00BE5BE7">
        <w:rPr>
          <w:rFonts w:ascii="Times New Roman" w:hAnsi="Times New Roman" w:cs="Times New Roman"/>
          <w:sz w:val="24"/>
          <w:szCs w:val="24"/>
        </w:rPr>
        <w:t xml:space="preserve">I am planning to initially license and practice in Maryland. </w:t>
      </w:r>
      <w:r w:rsidR="005C3486" w:rsidRPr="00BE5BE7">
        <w:rPr>
          <w:rFonts w:ascii="Times New Roman" w:hAnsi="Times New Roman" w:cs="Times New Roman"/>
          <w:sz w:val="24"/>
          <w:szCs w:val="24"/>
        </w:rPr>
        <w:t xml:space="preserve">PMHNPs intending to practice in Maryland can get their certification through ANCC or other recognized certifying bodies after completing the educational and clinical requirements. The process in Maryland entails meeting </w:t>
      </w:r>
      <w:r w:rsidR="00A51B3B" w:rsidRPr="00BE5BE7">
        <w:rPr>
          <w:rFonts w:ascii="Times New Roman" w:hAnsi="Times New Roman" w:cs="Times New Roman"/>
          <w:sz w:val="24"/>
          <w:szCs w:val="24"/>
        </w:rPr>
        <w:t>advanced</w:t>
      </w:r>
      <w:r w:rsidR="0077274C" w:rsidRPr="00BE5BE7">
        <w:rPr>
          <w:rFonts w:ascii="Times New Roman" w:hAnsi="Times New Roman" w:cs="Times New Roman"/>
          <w:sz w:val="24"/>
          <w:szCs w:val="24"/>
        </w:rPr>
        <w:t xml:space="preserve"> education</w:t>
      </w:r>
      <w:r w:rsidR="005C3486" w:rsidRPr="00BE5BE7">
        <w:rPr>
          <w:rFonts w:ascii="Times New Roman" w:hAnsi="Times New Roman" w:cs="Times New Roman"/>
          <w:sz w:val="24"/>
          <w:szCs w:val="24"/>
        </w:rPr>
        <w:t xml:space="preserve"> and clinical practice requirements</w:t>
      </w:r>
      <w:r w:rsidR="0077274C" w:rsidRPr="00BE5BE7">
        <w:rPr>
          <w:rFonts w:ascii="Times New Roman" w:hAnsi="Times New Roman" w:cs="Times New Roman"/>
          <w:sz w:val="24"/>
          <w:szCs w:val="24"/>
        </w:rPr>
        <w:t xml:space="preserve">, in addition to </w:t>
      </w:r>
      <w:r w:rsidR="005C3486" w:rsidRPr="00BE5BE7">
        <w:rPr>
          <w:rFonts w:ascii="Times New Roman" w:hAnsi="Times New Roman" w:cs="Times New Roman"/>
          <w:sz w:val="24"/>
          <w:szCs w:val="24"/>
        </w:rPr>
        <w:t>successfully passing a certification examination. Candidates with approved</w:t>
      </w:r>
      <w:r w:rsidR="00361CAF" w:rsidRPr="00BE5BE7">
        <w:rPr>
          <w:rFonts w:ascii="Times New Roman" w:hAnsi="Times New Roman" w:cs="Times New Roman"/>
          <w:sz w:val="24"/>
          <w:szCs w:val="24"/>
        </w:rPr>
        <w:t xml:space="preserve"> applications are eligible to take certification examination</w:t>
      </w:r>
      <w:r w:rsidR="00A51B3B" w:rsidRPr="00BE5BE7">
        <w:rPr>
          <w:rFonts w:ascii="Times New Roman" w:hAnsi="Times New Roman" w:cs="Times New Roman"/>
          <w:sz w:val="24"/>
          <w:szCs w:val="24"/>
        </w:rPr>
        <w:t xml:space="preserve"> to obtain national certification</w:t>
      </w:r>
      <w:r w:rsidR="00361CAF" w:rsidRPr="00BE5BE7">
        <w:rPr>
          <w:rFonts w:ascii="Times New Roman" w:hAnsi="Times New Roman" w:cs="Times New Roman"/>
          <w:sz w:val="24"/>
          <w:szCs w:val="24"/>
        </w:rPr>
        <w:t>, which is key to practicing as a PMHNP in Maryland. However, PMHNPs must also hold an advanced practice nursing license from the Maryland Board of Nursing</w:t>
      </w:r>
      <w:r w:rsidR="00A51B3B" w:rsidRPr="00BE5BE7">
        <w:rPr>
          <w:rFonts w:ascii="Times New Roman" w:hAnsi="Times New Roman" w:cs="Times New Roman"/>
          <w:sz w:val="24"/>
          <w:szCs w:val="24"/>
        </w:rPr>
        <w:t xml:space="preserve"> to legally practice within the state. </w:t>
      </w:r>
    </w:p>
    <w:p w14:paraId="24765443" w14:textId="663AE987" w:rsidR="00C134C1" w:rsidRPr="00BE5BE7" w:rsidRDefault="00D40B53" w:rsidP="00BE5BE7">
      <w:pPr>
        <w:pStyle w:val="ListParagraph"/>
        <w:numPr>
          <w:ilvl w:val="0"/>
          <w:numId w:val="2"/>
        </w:numPr>
        <w:rPr>
          <w:rFonts w:ascii="Times New Roman" w:hAnsi="Times New Roman" w:cs="Times New Roman"/>
          <w:b/>
          <w:bCs/>
          <w:sz w:val="24"/>
          <w:szCs w:val="24"/>
        </w:rPr>
      </w:pPr>
      <w:r w:rsidRPr="00BE5BE7">
        <w:rPr>
          <w:rFonts w:ascii="Times New Roman" w:hAnsi="Times New Roman" w:cs="Times New Roman"/>
          <w:b/>
          <w:bCs/>
          <w:sz w:val="24"/>
          <w:szCs w:val="24"/>
        </w:rPr>
        <w:t>Prescribing license:  Does your state require a separate license to prescribe?  Does your state require specific hours of pharmacology for initial license?</w:t>
      </w:r>
      <w:r w:rsidR="00C134C1" w:rsidRPr="00BE5BE7">
        <w:rPr>
          <w:rFonts w:ascii="Times New Roman" w:hAnsi="Times New Roman" w:cs="Times New Roman"/>
          <w:b/>
          <w:bCs/>
          <w:sz w:val="24"/>
          <w:szCs w:val="24"/>
        </w:rPr>
        <w:t xml:space="preserve"> </w:t>
      </w:r>
      <w:r w:rsidR="00C134C1" w:rsidRPr="00BE5BE7">
        <w:rPr>
          <w:rFonts w:ascii="Times New Roman" w:hAnsi="Times New Roman" w:cs="Times New Roman"/>
          <w:sz w:val="24"/>
          <w:szCs w:val="24"/>
        </w:rPr>
        <w:t>APRNs, including PMHNPs, do not require a separate prescribing license. Maryland is among states with full practice authority (FPA) for APRNs. However, APRNs need a Maryland Drug Control Number to prescribe controlled substances. They also need coursework in advanced pharmacology, advanced pathophysiology, and advanced physical assessment, with no specific contact hours. Additionally, physician involvement required for NP prescriptive authority is necessary for the first 18 months of practice</w:t>
      </w:r>
      <w:r w:rsidR="003E3CB6" w:rsidRPr="00BE5BE7">
        <w:rPr>
          <w:rFonts w:ascii="Times New Roman" w:hAnsi="Times New Roman" w:cs="Times New Roman"/>
          <w:sz w:val="24"/>
          <w:szCs w:val="24"/>
        </w:rPr>
        <w:t xml:space="preserve"> (Phillips, 2018)</w:t>
      </w:r>
      <w:r w:rsidR="00C134C1" w:rsidRPr="00BE5BE7">
        <w:rPr>
          <w:rFonts w:ascii="Times New Roman" w:hAnsi="Times New Roman" w:cs="Times New Roman"/>
          <w:sz w:val="24"/>
          <w:szCs w:val="24"/>
        </w:rPr>
        <w:t xml:space="preserve">. </w:t>
      </w:r>
    </w:p>
    <w:p w14:paraId="2434F91B" w14:textId="77777777" w:rsidR="00D252B2" w:rsidRPr="00BE5BE7" w:rsidRDefault="00D40B53" w:rsidP="00BE5BE7">
      <w:pPr>
        <w:pStyle w:val="ListParagraph"/>
        <w:numPr>
          <w:ilvl w:val="0"/>
          <w:numId w:val="2"/>
        </w:numPr>
        <w:rPr>
          <w:rFonts w:ascii="Times New Roman" w:hAnsi="Times New Roman" w:cs="Times New Roman"/>
          <w:b/>
          <w:bCs/>
          <w:sz w:val="24"/>
          <w:szCs w:val="24"/>
        </w:rPr>
      </w:pPr>
      <w:proofErr w:type="spellStart"/>
      <w:r w:rsidRPr="00BE5BE7">
        <w:rPr>
          <w:rFonts w:ascii="Times New Roman" w:hAnsi="Times New Roman" w:cs="Times New Roman"/>
          <w:b/>
          <w:bCs/>
          <w:sz w:val="24"/>
          <w:szCs w:val="24"/>
        </w:rPr>
        <w:t>ConEd</w:t>
      </w:r>
      <w:proofErr w:type="spellEnd"/>
      <w:r w:rsidRPr="00BE5BE7">
        <w:rPr>
          <w:rFonts w:ascii="Times New Roman" w:hAnsi="Times New Roman" w:cs="Times New Roman"/>
          <w:b/>
          <w:bCs/>
          <w:sz w:val="24"/>
          <w:szCs w:val="24"/>
        </w:rPr>
        <w:t xml:space="preserve">.: What continuing education requirements are required for renewal of license for your state? </w:t>
      </w:r>
      <w:r w:rsidR="00C134C1" w:rsidRPr="00BE5BE7">
        <w:rPr>
          <w:rFonts w:ascii="Times New Roman" w:hAnsi="Times New Roman" w:cs="Times New Roman"/>
          <w:sz w:val="24"/>
          <w:szCs w:val="24"/>
        </w:rPr>
        <w:t xml:space="preserve">There </w:t>
      </w:r>
      <w:r w:rsidR="004B0851" w:rsidRPr="00BE5BE7">
        <w:rPr>
          <w:rFonts w:ascii="Times New Roman" w:hAnsi="Times New Roman" w:cs="Times New Roman"/>
          <w:sz w:val="24"/>
          <w:szCs w:val="24"/>
        </w:rPr>
        <w:t>have been no</w:t>
      </w:r>
      <w:r w:rsidR="00C134C1" w:rsidRPr="00BE5BE7">
        <w:rPr>
          <w:rFonts w:ascii="Times New Roman" w:hAnsi="Times New Roman" w:cs="Times New Roman"/>
          <w:sz w:val="24"/>
          <w:szCs w:val="24"/>
        </w:rPr>
        <w:t xml:space="preserve"> CE requirements for renewal of APRN license in Marland. However, </w:t>
      </w:r>
      <w:r w:rsidR="004B0851" w:rsidRPr="00BE5BE7">
        <w:rPr>
          <w:rFonts w:ascii="Times New Roman" w:hAnsi="Times New Roman" w:cs="Times New Roman"/>
          <w:sz w:val="24"/>
          <w:szCs w:val="24"/>
        </w:rPr>
        <w:t xml:space="preserve">nurse practitioners must now complete an implicit bias </w:t>
      </w:r>
      <w:r w:rsidR="004B0851" w:rsidRPr="00BE5BE7">
        <w:rPr>
          <w:rFonts w:ascii="Times New Roman" w:hAnsi="Times New Roman" w:cs="Times New Roman"/>
          <w:sz w:val="24"/>
          <w:szCs w:val="24"/>
        </w:rPr>
        <w:lastRenderedPageBreak/>
        <w:t>training course approved by the Cultural and Linguistic Health Care Professional Competency Program. The training course is a one-time only requirement for licensure renewal, meaning that APRNs renewing their licenses in the state will not repeat this attestation in subsequent applications.</w:t>
      </w:r>
    </w:p>
    <w:p w14:paraId="75E54615" w14:textId="77777777" w:rsidR="004C1789" w:rsidRPr="00BE5BE7" w:rsidRDefault="00D40B53" w:rsidP="00BE5BE7">
      <w:pPr>
        <w:pStyle w:val="ListParagraph"/>
        <w:numPr>
          <w:ilvl w:val="0"/>
          <w:numId w:val="2"/>
        </w:numPr>
        <w:rPr>
          <w:rFonts w:ascii="Times New Roman" w:hAnsi="Times New Roman" w:cs="Times New Roman"/>
          <w:b/>
          <w:bCs/>
          <w:sz w:val="24"/>
          <w:szCs w:val="24"/>
        </w:rPr>
      </w:pPr>
      <w:r w:rsidRPr="00BE5BE7">
        <w:rPr>
          <w:rFonts w:ascii="Times New Roman" w:hAnsi="Times New Roman" w:cs="Times New Roman"/>
          <w:b/>
          <w:bCs/>
          <w:sz w:val="24"/>
          <w:szCs w:val="24"/>
        </w:rPr>
        <w:t xml:space="preserve">Autonomous Practice: Does your state allow autonomous practice?  If </w:t>
      </w:r>
      <w:r w:rsidR="008B5C1C" w:rsidRPr="00BE5BE7">
        <w:rPr>
          <w:rFonts w:ascii="Times New Roman" w:hAnsi="Times New Roman" w:cs="Times New Roman"/>
          <w:b/>
          <w:bCs/>
          <w:sz w:val="24"/>
          <w:szCs w:val="24"/>
        </w:rPr>
        <w:t>so,</w:t>
      </w:r>
      <w:r w:rsidRPr="00BE5BE7">
        <w:rPr>
          <w:rFonts w:ascii="Times New Roman" w:hAnsi="Times New Roman" w:cs="Times New Roman"/>
          <w:b/>
          <w:bCs/>
          <w:sz w:val="24"/>
          <w:szCs w:val="24"/>
        </w:rPr>
        <w:t xml:space="preserve"> are there requirements or can you practice independently upon board certification and license being received? </w:t>
      </w:r>
      <w:r w:rsidR="00D252B2" w:rsidRPr="00BE5BE7">
        <w:rPr>
          <w:rFonts w:ascii="Times New Roman" w:hAnsi="Times New Roman" w:cs="Times New Roman"/>
          <w:sz w:val="24"/>
          <w:szCs w:val="24"/>
        </w:rPr>
        <w:t xml:space="preserve">Maryland is among states with FPA, which allow APRNs to practice independently without the need for collaborative agreements with physicians. </w:t>
      </w:r>
      <w:r w:rsidR="008B5C1C" w:rsidRPr="00BE5BE7">
        <w:rPr>
          <w:rFonts w:ascii="Times New Roman" w:hAnsi="Times New Roman" w:cs="Times New Roman"/>
          <w:sz w:val="24"/>
          <w:szCs w:val="24"/>
        </w:rPr>
        <w:t>Thus, APRNs practicing in the state do not require an attestation or collaborative agreement with physicians to provide primary care or prescribe drugs</w:t>
      </w:r>
      <w:r w:rsidR="00077D60" w:rsidRPr="00BE5BE7">
        <w:rPr>
          <w:rFonts w:ascii="Times New Roman" w:hAnsi="Times New Roman" w:cs="Times New Roman"/>
          <w:sz w:val="24"/>
          <w:szCs w:val="24"/>
        </w:rPr>
        <w:t xml:space="preserve">. Nevertheless, it is important to point out that physician involvement in the prescriptive authority of APRNs is necessary during the first 18 months of practice under the Code of Maryland Regulations </w:t>
      </w:r>
      <w:r w:rsidR="00032F58" w:rsidRPr="00BE5BE7">
        <w:rPr>
          <w:rFonts w:ascii="Times New Roman" w:hAnsi="Times New Roman" w:cs="Times New Roman"/>
          <w:sz w:val="24"/>
          <w:szCs w:val="24"/>
        </w:rPr>
        <w:t>[</w:t>
      </w:r>
      <w:r w:rsidR="00077D60" w:rsidRPr="00BE5BE7">
        <w:rPr>
          <w:rFonts w:ascii="Times New Roman" w:hAnsi="Times New Roman" w:cs="Times New Roman"/>
          <w:sz w:val="24"/>
          <w:szCs w:val="24"/>
        </w:rPr>
        <w:t>COMAR</w:t>
      </w:r>
      <w:r w:rsidR="00032F58" w:rsidRPr="00BE5BE7">
        <w:rPr>
          <w:rFonts w:ascii="Times New Roman" w:hAnsi="Times New Roman" w:cs="Times New Roman"/>
          <w:sz w:val="24"/>
          <w:szCs w:val="24"/>
        </w:rPr>
        <w:t>]</w:t>
      </w:r>
      <w:r w:rsidR="00077D60" w:rsidRPr="00BE5BE7">
        <w:rPr>
          <w:rFonts w:ascii="Times New Roman" w:hAnsi="Times New Roman" w:cs="Times New Roman"/>
          <w:sz w:val="24"/>
          <w:szCs w:val="24"/>
        </w:rPr>
        <w:t xml:space="preserve"> (</w:t>
      </w:r>
      <w:r w:rsidR="00077D60" w:rsidRPr="00BE5BE7">
        <w:rPr>
          <w:rFonts w:ascii="Times New Roman" w:hAnsi="Times New Roman" w:cs="Times New Roman"/>
          <w:bCs/>
          <w:sz w:val="24"/>
          <w:szCs w:val="24"/>
        </w:rPr>
        <w:t>Bosse et al., 2017; Louise, 2015</w:t>
      </w:r>
      <w:r w:rsidR="00077D60" w:rsidRPr="00BE5BE7">
        <w:rPr>
          <w:rFonts w:ascii="Times New Roman" w:hAnsi="Times New Roman" w:cs="Times New Roman"/>
          <w:sz w:val="24"/>
          <w:szCs w:val="24"/>
        </w:rPr>
        <w:t>).</w:t>
      </w:r>
    </w:p>
    <w:p w14:paraId="6599817D" w14:textId="77777777" w:rsidR="009011D1" w:rsidRPr="00BE5BE7" w:rsidRDefault="00D40B53" w:rsidP="00BE5BE7">
      <w:pPr>
        <w:pStyle w:val="ListParagraph"/>
        <w:numPr>
          <w:ilvl w:val="0"/>
          <w:numId w:val="2"/>
        </w:numPr>
        <w:rPr>
          <w:rFonts w:ascii="Times New Roman" w:hAnsi="Times New Roman" w:cs="Times New Roman"/>
          <w:b/>
          <w:bCs/>
          <w:sz w:val="24"/>
          <w:szCs w:val="24"/>
        </w:rPr>
      </w:pPr>
      <w:r w:rsidRPr="00BE5BE7">
        <w:rPr>
          <w:rFonts w:ascii="Times New Roman" w:hAnsi="Times New Roman" w:cs="Times New Roman"/>
          <w:b/>
          <w:bCs/>
          <w:sz w:val="24"/>
          <w:szCs w:val="24"/>
        </w:rPr>
        <w:t xml:space="preserve">Insurance Credentialing: Research the insurance credentialing process for a new provider.  How long will this take before you can practice if you plan to accept insurance and be paneled by insurance companies?  </w:t>
      </w:r>
      <w:r w:rsidR="004C1789" w:rsidRPr="00BE5BE7">
        <w:rPr>
          <w:rFonts w:ascii="Times New Roman" w:hAnsi="Times New Roman" w:cs="Times New Roman"/>
          <w:sz w:val="24"/>
          <w:szCs w:val="24"/>
        </w:rPr>
        <w:t xml:space="preserve">Insurance credentialling, also called provider enrolment, </w:t>
      </w:r>
      <w:r w:rsidR="000A73B8" w:rsidRPr="00BE5BE7">
        <w:rPr>
          <w:rFonts w:ascii="Times New Roman" w:hAnsi="Times New Roman" w:cs="Times New Roman"/>
          <w:sz w:val="24"/>
          <w:szCs w:val="24"/>
        </w:rPr>
        <w:t xml:space="preserve">is the process of seeking authorization from health insurance networks to be part of their provider panels. The process allows APRNs to bill and receive reimbursement from insurance companies for primary care services that they provide. </w:t>
      </w:r>
      <w:r w:rsidR="00C22605" w:rsidRPr="00BE5BE7">
        <w:rPr>
          <w:rFonts w:ascii="Times New Roman" w:hAnsi="Times New Roman" w:cs="Times New Roman"/>
          <w:sz w:val="24"/>
          <w:szCs w:val="24"/>
        </w:rPr>
        <w:t xml:space="preserve">The credentialing process can vary from one insurance company to another although the steps are similar. The first step is having all the required documentation, including an APRN state license, national certification relevant to a specific APRN specialty, </w:t>
      </w:r>
      <w:r w:rsidR="003E44C1" w:rsidRPr="00BE5BE7">
        <w:rPr>
          <w:rFonts w:ascii="Times New Roman" w:hAnsi="Times New Roman" w:cs="Times New Roman"/>
          <w:sz w:val="24"/>
          <w:szCs w:val="24"/>
        </w:rPr>
        <w:t xml:space="preserve">DEA number, malpractice insurance certificate, proof of education and training, </w:t>
      </w:r>
      <w:r w:rsidR="003E44C1" w:rsidRPr="00BE5BE7">
        <w:rPr>
          <w:rFonts w:ascii="Times New Roman" w:hAnsi="Times New Roman" w:cs="Times New Roman"/>
          <w:sz w:val="24"/>
          <w:szCs w:val="24"/>
        </w:rPr>
        <w:lastRenderedPageBreak/>
        <w:t>practitioner information, and a CV/resume. The next step is to research available insurance providers, followed by completion and submission of application. The insurance company then reviews the application for approval. The process can take weeks to months depending on the company’s workload and timeline. Some companies may require additional information and/or site visit prior to approval</w:t>
      </w:r>
      <w:r w:rsidR="00E86830" w:rsidRPr="00BE5BE7">
        <w:rPr>
          <w:rFonts w:ascii="Times New Roman" w:hAnsi="Times New Roman" w:cs="Times New Roman"/>
          <w:sz w:val="24"/>
          <w:szCs w:val="24"/>
        </w:rPr>
        <w:t xml:space="preserve"> (McMullen &amp; Howie, 2020). </w:t>
      </w:r>
    </w:p>
    <w:p w14:paraId="5D6DB4C8" w14:textId="7B33ADBB" w:rsidR="009D7B37" w:rsidRPr="00BE5BE7" w:rsidRDefault="00D40B53" w:rsidP="00BE5BE7">
      <w:pPr>
        <w:pStyle w:val="ListParagraph"/>
        <w:numPr>
          <w:ilvl w:val="0"/>
          <w:numId w:val="2"/>
        </w:numPr>
        <w:rPr>
          <w:rFonts w:ascii="Times New Roman" w:hAnsi="Times New Roman" w:cs="Times New Roman"/>
          <w:b/>
          <w:bCs/>
          <w:sz w:val="24"/>
          <w:szCs w:val="24"/>
        </w:rPr>
      </w:pPr>
      <w:r w:rsidRPr="00BE5BE7">
        <w:rPr>
          <w:rFonts w:ascii="Times New Roman" w:hAnsi="Times New Roman" w:cs="Times New Roman"/>
          <w:b/>
          <w:bCs/>
          <w:sz w:val="24"/>
          <w:szCs w:val="24"/>
        </w:rPr>
        <w:t xml:space="preserve">Job Search: What particular specialty/population will you be searching for in psychiatric care?  How do you plan to stand out and differentiate yourself from other applicants for your dream job? </w:t>
      </w:r>
      <w:r w:rsidR="009011D1" w:rsidRPr="00BE5BE7">
        <w:rPr>
          <w:rFonts w:ascii="Times New Roman" w:hAnsi="Times New Roman" w:cs="Times New Roman"/>
          <w:sz w:val="24"/>
          <w:szCs w:val="24"/>
        </w:rPr>
        <w:t xml:space="preserve">I will be searching for jobs in geriatrics and substance abuse clinics. I plan to stand out by being a change agent committed to addressing persisting disparities in mental health care. Specifically, I will move beyond the conventional practice of symptoms to addressing underlying causes. Therefore, I will focus more on assessing and resolving the impact of social determinants </w:t>
      </w:r>
      <w:r w:rsidR="003563C9" w:rsidRPr="00BE5BE7">
        <w:rPr>
          <w:rFonts w:ascii="Times New Roman" w:hAnsi="Times New Roman" w:cs="Times New Roman"/>
          <w:sz w:val="24"/>
          <w:szCs w:val="24"/>
        </w:rPr>
        <w:t xml:space="preserve">of health that influence access, availability, and affordability of behavioral healthcare services. I will also foster collaboration across specialties and settings to ensure that clients have access to comprehensive services. </w:t>
      </w:r>
      <w:r w:rsidR="000A67D2" w:rsidRPr="00BE5BE7">
        <w:rPr>
          <w:rFonts w:ascii="Times New Roman" w:hAnsi="Times New Roman" w:cs="Times New Roman"/>
          <w:sz w:val="24"/>
          <w:szCs w:val="24"/>
        </w:rPr>
        <w:t xml:space="preserve">Finally, I will also make a personal commitment to end persisting stigma and discrimination </w:t>
      </w:r>
      <w:r w:rsidR="006139F6" w:rsidRPr="00BE5BE7">
        <w:rPr>
          <w:rFonts w:ascii="Times New Roman" w:hAnsi="Times New Roman" w:cs="Times New Roman"/>
          <w:sz w:val="24"/>
          <w:szCs w:val="24"/>
        </w:rPr>
        <w:t>in mental health settings</w:t>
      </w:r>
      <w:r w:rsidR="003E3CB6" w:rsidRPr="00BE5BE7">
        <w:rPr>
          <w:rFonts w:ascii="Times New Roman" w:hAnsi="Times New Roman" w:cs="Times New Roman"/>
          <w:sz w:val="24"/>
          <w:szCs w:val="24"/>
        </w:rPr>
        <w:t xml:space="preserve"> (Frances, 2020)</w:t>
      </w:r>
      <w:r w:rsidR="006139F6" w:rsidRPr="00BE5BE7">
        <w:rPr>
          <w:rFonts w:ascii="Times New Roman" w:hAnsi="Times New Roman" w:cs="Times New Roman"/>
          <w:sz w:val="24"/>
          <w:szCs w:val="24"/>
        </w:rPr>
        <w:t xml:space="preserve">. </w:t>
      </w:r>
    </w:p>
    <w:p w14:paraId="403E3C4D" w14:textId="2E3DCF41" w:rsidR="00D40B53" w:rsidRPr="00BE5BE7" w:rsidRDefault="009D7B37" w:rsidP="00BE5BE7">
      <w:pPr>
        <w:pStyle w:val="ListParagraph"/>
        <w:numPr>
          <w:ilvl w:val="0"/>
          <w:numId w:val="2"/>
        </w:numPr>
        <w:rPr>
          <w:rFonts w:ascii="Times New Roman" w:hAnsi="Times New Roman" w:cs="Times New Roman"/>
          <w:b/>
          <w:bCs/>
          <w:sz w:val="24"/>
          <w:szCs w:val="24"/>
        </w:rPr>
      </w:pPr>
      <w:r w:rsidRPr="00BE5BE7">
        <w:rPr>
          <w:rFonts w:ascii="Times New Roman" w:hAnsi="Times New Roman" w:cs="Times New Roman"/>
          <w:b/>
          <w:bCs/>
          <w:sz w:val="24"/>
          <w:szCs w:val="24"/>
        </w:rPr>
        <w:t>Summary of</w:t>
      </w:r>
      <w:r w:rsidR="00D40B53" w:rsidRPr="00BE5BE7">
        <w:rPr>
          <w:rFonts w:ascii="Times New Roman" w:hAnsi="Times New Roman" w:cs="Times New Roman"/>
          <w:b/>
          <w:bCs/>
          <w:sz w:val="24"/>
          <w:szCs w:val="24"/>
        </w:rPr>
        <w:t xml:space="preserve"> your PMHNP student experience</w:t>
      </w:r>
      <w:r w:rsidRPr="00BE5BE7">
        <w:rPr>
          <w:rFonts w:ascii="Times New Roman" w:hAnsi="Times New Roman" w:cs="Times New Roman"/>
          <w:b/>
          <w:bCs/>
          <w:sz w:val="24"/>
          <w:szCs w:val="24"/>
        </w:rPr>
        <w:t xml:space="preserve">. </w:t>
      </w:r>
      <w:r w:rsidRPr="00BE5BE7">
        <w:rPr>
          <w:rFonts w:ascii="Times New Roman" w:hAnsi="Times New Roman" w:cs="Times New Roman"/>
          <w:sz w:val="24"/>
          <w:szCs w:val="24"/>
        </w:rPr>
        <w:t>My experience as a PMHNP has been both great and fulfilling. Both the coursework and clinical/practicum experience have broadened my knowledge</w:t>
      </w:r>
      <w:r w:rsidR="00E1030A" w:rsidRPr="00BE5BE7">
        <w:rPr>
          <w:rFonts w:ascii="Times New Roman" w:hAnsi="Times New Roman" w:cs="Times New Roman"/>
          <w:sz w:val="24"/>
          <w:szCs w:val="24"/>
        </w:rPr>
        <w:t xml:space="preserve">, skills, and competencies </w:t>
      </w:r>
      <w:r w:rsidR="00250D72" w:rsidRPr="00BE5BE7">
        <w:rPr>
          <w:rFonts w:ascii="Times New Roman" w:hAnsi="Times New Roman" w:cs="Times New Roman"/>
          <w:sz w:val="24"/>
          <w:szCs w:val="24"/>
        </w:rPr>
        <w:t xml:space="preserve">needed to practice independently </w:t>
      </w:r>
      <w:r w:rsidR="00C22F69" w:rsidRPr="00BE5BE7">
        <w:rPr>
          <w:rFonts w:ascii="Times New Roman" w:hAnsi="Times New Roman" w:cs="Times New Roman"/>
          <w:sz w:val="24"/>
          <w:szCs w:val="24"/>
        </w:rPr>
        <w:t xml:space="preserve">to the full extent of my education and training. </w:t>
      </w:r>
    </w:p>
    <w:p w14:paraId="55B1FB17" w14:textId="77777777" w:rsidR="003E3CB6" w:rsidRPr="00BE5BE7" w:rsidRDefault="003E3CB6" w:rsidP="00BE5BE7">
      <w:pPr>
        <w:contextualSpacing/>
        <w:jc w:val="center"/>
        <w:rPr>
          <w:rFonts w:ascii="Times New Roman" w:hAnsi="Times New Roman" w:cs="Times New Roman"/>
          <w:b/>
          <w:bCs/>
          <w:sz w:val="24"/>
          <w:szCs w:val="24"/>
        </w:rPr>
      </w:pPr>
    </w:p>
    <w:p w14:paraId="4F6EDDAC" w14:textId="77777777" w:rsidR="003E3CB6" w:rsidRPr="00BE5BE7" w:rsidRDefault="003E3CB6" w:rsidP="00BE5BE7">
      <w:pPr>
        <w:contextualSpacing/>
        <w:jc w:val="center"/>
        <w:rPr>
          <w:rFonts w:ascii="Times New Roman" w:hAnsi="Times New Roman" w:cs="Times New Roman"/>
          <w:b/>
          <w:bCs/>
          <w:sz w:val="24"/>
          <w:szCs w:val="24"/>
        </w:rPr>
      </w:pPr>
    </w:p>
    <w:p w14:paraId="76E060EB" w14:textId="27FA7BDF" w:rsidR="007111BD" w:rsidRPr="00BE5BE7" w:rsidRDefault="007111BD" w:rsidP="00BE5BE7">
      <w:pPr>
        <w:contextualSpacing/>
        <w:jc w:val="center"/>
        <w:rPr>
          <w:rFonts w:ascii="Times New Roman" w:hAnsi="Times New Roman" w:cs="Times New Roman"/>
          <w:b/>
          <w:bCs/>
          <w:sz w:val="24"/>
          <w:szCs w:val="24"/>
        </w:rPr>
      </w:pPr>
      <w:r w:rsidRPr="00BE5BE7">
        <w:rPr>
          <w:rFonts w:ascii="Times New Roman" w:hAnsi="Times New Roman" w:cs="Times New Roman"/>
          <w:b/>
          <w:bCs/>
          <w:sz w:val="24"/>
          <w:szCs w:val="24"/>
        </w:rPr>
        <w:lastRenderedPageBreak/>
        <w:t xml:space="preserve">References </w:t>
      </w:r>
    </w:p>
    <w:p w14:paraId="40CABA7E" w14:textId="77777777" w:rsidR="003E3CB6" w:rsidRPr="00BE5BE7" w:rsidRDefault="003E3CB6" w:rsidP="00BE5BE7">
      <w:pPr>
        <w:ind w:left="720" w:hanging="720"/>
        <w:contextualSpacing/>
        <w:rPr>
          <w:rFonts w:ascii="Times New Roman" w:hAnsi="Times New Roman" w:cs="Times New Roman"/>
          <w:sz w:val="24"/>
          <w:szCs w:val="24"/>
          <w:u w:val="single"/>
        </w:rPr>
      </w:pPr>
      <w:r w:rsidRPr="00BE5BE7">
        <w:rPr>
          <w:rFonts w:ascii="Times New Roman" w:hAnsi="Times New Roman" w:cs="Times New Roman"/>
          <w:bCs/>
          <w:sz w:val="24"/>
          <w:szCs w:val="24"/>
        </w:rPr>
        <w:t>Bosse, J., Simmonds, K., Hanson, C., Pulcini, J., Dunphy, L., Vanhook, P., &amp; Poghosyan, L. (2017).</w:t>
      </w:r>
      <w:r w:rsidRPr="00BE5BE7">
        <w:rPr>
          <w:rFonts w:ascii="Times New Roman" w:hAnsi="Times New Roman" w:cs="Times New Roman"/>
          <w:sz w:val="24"/>
          <w:szCs w:val="24"/>
        </w:rPr>
        <w:t xml:space="preserve"> </w:t>
      </w:r>
      <w:r w:rsidRPr="00BE5BE7">
        <w:rPr>
          <w:rFonts w:ascii="Times New Roman" w:hAnsi="Times New Roman" w:cs="Times New Roman"/>
          <w:bCs/>
          <w:sz w:val="24"/>
          <w:szCs w:val="24"/>
        </w:rPr>
        <w:t xml:space="preserve">Position statement: Full practice authority for advanced practice registered nurses is necessary to transform primary care. </w:t>
      </w:r>
      <w:r w:rsidRPr="00BE5BE7">
        <w:rPr>
          <w:rFonts w:ascii="Times New Roman" w:hAnsi="Times New Roman" w:cs="Times New Roman"/>
          <w:bCs/>
          <w:i/>
          <w:iCs/>
          <w:sz w:val="24"/>
          <w:szCs w:val="24"/>
        </w:rPr>
        <w:t>Nursing Outlook, 65</w:t>
      </w:r>
      <w:r w:rsidRPr="00BE5BE7">
        <w:rPr>
          <w:rFonts w:ascii="Times New Roman" w:hAnsi="Times New Roman" w:cs="Times New Roman"/>
          <w:bCs/>
          <w:sz w:val="24"/>
          <w:szCs w:val="24"/>
        </w:rPr>
        <w:t xml:space="preserve">(6), 761-765. </w:t>
      </w:r>
      <w:hyperlink r:id="rId8" w:history="1">
        <w:r w:rsidRPr="00BE5BE7">
          <w:rPr>
            <w:rStyle w:val="Hyperlink"/>
            <w:rFonts w:ascii="Times New Roman" w:hAnsi="Times New Roman" w:cs="Times New Roman"/>
            <w:color w:val="auto"/>
            <w:sz w:val="24"/>
            <w:szCs w:val="24"/>
          </w:rPr>
          <w:t>https://doi/10.1016/j.outlook.2017.10.002</w:t>
        </w:r>
      </w:hyperlink>
    </w:p>
    <w:p w14:paraId="3C615508" w14:textId="77777777" w:rsidR="003E3CB6" w:rsidRPr="003E3CB6" w:rsidRDefault="003E3CB6" w:rsidP="00BE5BE7">
      <w:pPr>
        <w:ind w:left="720" w:hanging="720"/>
        <w:contextualSpacing/>
        <w:rPr>
          <w:rFonts w:ascii="Times New Roman" w:hAnsi="Times New Roman" w:cs="Times New Roman"/>
          <w:sz w:val="24"/>
          <w:szCs w:val="24"/>
        </w:rPr>
      </w:pPr>
      <w:r w:rsidRPr="003E3CB6">
        <w:rPr>
          <w:rFonts w:ascii="Times New Roman" w:hAnsi="Times New Roman" w:cs="Times New Roman"/>
          <w:sz w:val="24"/>
          <w:szCs w:val="24"/>
        </w:rPr>
        <w:t xml:space="preserve">Frances, A. (2020). Repairing our broken mental health care system: Advice for policymakers. </w:t>
      </w:r>
      <w:r w:rsidRPr="003E3CB6">
        <w:rPr>
          <w:rFonts w:ascii="Times New Roman" w:hAnsi="Times New Roman" w:cs="Times New Roman"/>
          <w:i/>
          <w:iCs/>
          <w:sz w:val="24"/>
          <w:szCs w:val="24"/>
        </w:rPr>
        <w:t>Psychiatric Times, 37</w:t>
      </w:r>
      <w:r w:rsidRPr="003E3CB6">
        <w:rPr>
          <w:rFonts w:ascii="Times New Roman" w:hAnsi="Times New Roman" w:cs="Times New Roman"/>
          <w:sz w:val="24"/>
          <w:szCs w:val="24"/>
        </w:rPr>
        <w:t>(1), 1–16.</w:t>
      </w:r>
    </w:p>
    <w:p w14:paraId="7D07E4E6" w14:textId="77777777" w:rsidR="003E3CB6" w:rsidRPr="00BE5BE7" w:rsidRDefault="003E3CB6" w:rsidP="00BE5BE7">
      <w:pPr>
        <w:ind w:left="720" w:hanging="720"/>
        <w:contextualSpacing/>
        <w:rPr>
          <w:rFonts w:ascii="Times New Roman" w:hAnsi="Times New Roman" w:cs="Times New Roman"/>
          <w:bCs/>
          <w:sz w:val="24"/>
          <w:szCs w:val="24"/>
        </w:rPr>
      </w:pPr>
      <w:r w:rsidRPr="00BE5BE7">
        <w:rPr>
          <w:rFonts w:ascii="Times New Roman" w:hAnsi="Times New Roman" w:cs="Times New Roman"/>
          <w:bCs/>
          <w:sz w:val="24"/>
          <w:szCs w:val="24"/>
        </w:rPr>
        <w:t xml:space="preserve">Louise, K. (2015). Maryland's Nurse Practitioner Full Practice Authority Act of 2015. </w:t>
      </w:r>
      <w:r w:rsidRPr="00BE5BE7">
        <w:rPr>
          <w:rFonts w:ascii="Times New Roman" w:hAnsi="Times New Roman" w:cs="Times New Roman"/>
          <w:bCs/>
          <w:i/>
          <w:sz w:val="24"/>
          <w:szCs w:val="24"/>
        </w:rPr>
        <w:t>Nurse Practitioner, 40</w:t>
      </w:r>
      <w:r w:rsidRPr="00BE5BE7">
        <w:rPr>
          <w:rFonts w:ascii="Times New Roman" w:hAnsi="Times New Roman" w:cs="Times New Roman"/>
          <w:bCs/>
          <w:sz w:val="24"/>
          <w:szCs w:val="24"/>
        </w:rPr>
        <w:t xml:space="preserve">(5), 8-8. </w:t>
      </w:r>
    </w:p>
    <w:p w14:paraId="32E55952" w14:textId="77777777" w:rsidR="003E3CB6" w:rsidRPr="00BE5BE7" w:rsidRDefault="003E3CB6" w:rsidP="00BE5BE7">
      <w:pPr>
        <w:ind w:left="720" w:hanging="720"/>
        <w:contextualSpacing/>
        <w:rPr>
          <w:rStyle w:val="Hyperlink"/>
          <w:rFonts w:ascii="Times New Roman" w:hAnsi="Times New Roman" w:cs="Times New Roman"/>
          <w:color w:val="auto"/>
          <w:sz w:val="24"/>
          <w:szCs w:val="24"/>
        </w:rPr>
      </w:pPr>
      <w:r w:rsidRPr="00BE5BE7">
        <w:rPr>
          <w:rFonts w:ascii="Times New Roman" w:hAnsi="Times New Roman" w:cs="Times New Roman"/>
          <w:sz w:val="24"/>
          <w:szCs w:val="24"/>
        </w:rPr>
        <w:t xml:space="preserve">McMullen, P. C., &amp; Howie, W. O. (2020). Credentialing and privileging: A primer for nurse practitioners. </w:t>
      </w:r>
      <w:r w:rsidRPr="00BE5BE7">
        <w:rPr>
          <w:rFonts w:ascii="Times New Roman" w:hAnsi="Times New Roman" w:cs="Times New Roman"/>
          <w:i/>
          <w:iCs/>
          <w:sz w:val="24"/>
          <w:szCs w:val="24"/>
        </w:rPr>
        <w:t>Journal for Nurse Practitioners, 16</w:t>
      </w:r>
      <w:r w:rsidRPr="00BE5BE7">
        <w:rPr>
          <w:rFonts w:ascii="Times New Roman" w:hAnsi="Times New Roman" w:cs="Times New Roman"/>
          <w:sz w:val="24"/>
          <w:szCs w:val="24"/>
        </w:rPr>
        <w:t>(2)</w:t>
      </w:r>
      <w:r w:rsidRPr="00BE5BE7">
        <w:rPr>
          <w:rFonts w:ascii="Times New Roman" w:hAnsi="Times New Roman" w:cs="Times New Roman"/>
          <w:i/>
          <w:iCs/>
          <w:sz w:val="24"/>
          <w:szCs w:val="24"/>
        </w:rPr>
        <w:t xml:space="preserve">, </w:t>
      </w:r>
      <w:r w:rsidRPr="00BE5BE7">
        <w:rPr>
          <w:rFonts w:ascii="Times New Roman" w:hAnsi="Times New Roman" w:cs="Times New Roman"/>
          <w:sz w:val="24"/>
          <w:szCs w:val="24"/>
        </w:rPr>
        <w:t xml:space="preserve">91-95. </w:t>
      </w:r>
      <w:hyperlink r:id="rId9" w:history="1">
        <w:r w:rsidRPr="00BE5BE7">
          <w:rPr>
            <w:rStyle w:val="Hyperlink"/>
            <w:rFonts w:ascii="Times New Roman" w:hAnsi="Times New Roman" w:cs="Times New Roman"/>
            <w:color w:val="auto"/>
            <w:sz w:val="24"/>
            <w:szCs w:val="24"/>
          </w:rPr>
          <w:t>https://doi.org/10.1016/j.nurpra.2019.10.015</w:t>
        </w:r>
      </w:hyperlink>
    </w:p>
    <w:p w14:paraId="23A06BBE" w14:textId="77777777" w:rsidR="003E3CB6" w:rsidRPr="00BE5BE7" w:rsidRDefault="003E3CB6" w:rsidP="00BE5BE7">
      <w:pPr>
        <w:ind w:left="720" w:hanging="720"/>
        <w:contextualSpacing/>
        <w:rPr>
          <w:rFonts w:ascii="Times New Roman" w:hAnsi="Times New Roman" w:cs="Times New Roman"/>
          <w:sz w:val="24"/>
          <w:szCs w:val="24"/>
        </w:rPr>
      </w:pPr>
      <w:r w:rsidRPr="00BE5BE7">
        <w:rPr>
          <w:rFonts w:ascii="Times New Roman" w:hAnsi="Times New Roman" w:cs="Times New Roman"/>
          <w:sz w:val="24"/>
          <w:szCs w:val="24"/>
        </w:rPr>
        <w:t xml:space="preserve">Phillips, S. J. (2018). 30th APRN legislative update: Improving access to healthcare one state at a time. </w:t>
      </w:r>
      <w:r w:rsidRPr="00BE5BE7">
        <w:rPr>
          <w:rFonts w:ascii="Times New Roman" w:hAnsi="Times New Roman" w:cs="Times New Roman"/>
          <w:i/>
          <w:iCs/>
          <w:sz w:val="24"/>
          <w:szCs w:val="24"/>
        </w:rPr>
        <w:t>The Nurse Practitioner, 43</w:t>
      </w:r>
      <w:r w:rsidRPr="00BE5BE7">
        <w:rPr>
          <w:rFonts w:ascii="Times New Roman" w:hAnsi="Times New Roman" w:cs="Times New Roman"/>
          <w:sz w:val="24"/>
          <w:szCs w:val="24"/>
        </w:rPr>
        <w:t xml:space="preserve">(1), 27-54. </w:t>
      </w:r>
      <w:hyperlink r:id="rId10" w:history="1">
        <w:r w:rsidRPr="00BE5BE7">
          <w:rPr>
            <w:rStyle w:val="Hyperlink"/>
            <w:rFonts w:ascii="Times New Roman" w:hAnsi="Times New Roman" w:cs="Times New Roman"/>
            <w:color w:val="auto"/>
            <w:sz w:val="24"/>
            <w:szCs w:val="24"/>
          </w:rPr>
          <w:t>https://doi/10.1097/01.NPR.0000527569.36428.ed</w:t>
        </w:r>
      </w:hyperlink>
    </w:p>
    <w:p w14:paraId="3B1D2BD4" w14:textId="77777777" w:rsidR="003E3CB6" w:rsidRPr="00BE5BE7" w:rsidRDefault="003E3CB6" w:rsidP="00BE5BE7">
      <w:pPr>
        <w:ind w:left="720" w:hanging="720"/>
        <w:contextualSpacing/>
        <w:rPr>
          <w:rFonts w:ascii="Times New Roman" w:hAnsi="Times New Roman" w:cs="Times New Roman"/>
          <w:sz w:val="24"/>
          <w:szCs w:val="24"/>
        </w:rPr>
      </w:pPr>
    </w:p>
    <w:p w14:paraId="282EE36F" w14:textId="77777777" w:rsidR="00E86830" w:rsidRPr="00BE5BE7" w:rsidRDefault="00E86830" w:rsidP="00BE5BE7">
      <w:pPr>
        <w:ind w:left="720" w:hanging="720"/>
        <w:contextualSpacing/>
        <w:rPr>
          <w:rFonts w:ascii="Times New Roman" w:hAnsi="Times New Roman" w:cs="Times New Roman"/>
          <w:sz w:val="24"/>
          <w:szCs w:val="24"/>
        </w:rPr>
      </w:pPr>
    </w:p>
    <w:p w14:paraId="527C99CC" w14:textId="793D3C1E" w:rsidR="007111BD" w:rsidRPr="00BE5BE7" w:rsidRDefault="000D2BF2" w:rsidP="00BE5BE7">
      <w:pPr>
        <w:ind w:left="720" w:hanging="720"/>
        <w:contextualSpacing/>
        <w:rPr>
          <w:rFonts w:ascii="Times New Roman" w:hAnsi="Times New Roman" w:cs="Times New Roman"/>
          <w:sz w:val="24"/>
          <w:szCs w:val="24"/>
        </w:rPr>
      </w:pPr>
      <w:r w:rsidRPr="00BE5BE7">
        <w:rPr>
          <w:rFonts w:ascii="Times New Roman" w:hAnsi="Times New Roman" w:cs="Times New Roman"/>
          <w:sz w:val="24"/>
          <w:szCs w:val="24"/>
        </w:rPr>
        <w:t xml:space="preserve"> </w:t>
      </w:r>
    </w:p>
    <w:sectPr w:rsidR="007111BD" w:rsidRPr="00BE5BE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B50A5" w14:textId="77777777" w:rsidR="002635F1" w:rsidRDefault="002635F1" w:rsidP="007111BD">
      <w:pPr>
        <w:spacing w:line="240" w:lineRule="auto"/>
      </w:pPr>
      <w:r>
        <w:separator/>
      </w:r>
    </w:p>
  </w:endnote>
  <w:endnote w:type="continuationSeparator" w:id="0">
    <w:p w14:paraId="1F2BE9BE" w14:textId="77777777" w:rsidR="002635F1" w:rsidRDefault="002635F1" w:rsidP="00711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AD3D" w14:textId="77777777" w:rsidR="002635F1" w:rsidRDefault="002635F1" w:rsidP="007111BD">
      <w:pPr>
        <w:spacing w:line="240" w:lineRule="auto"/>
      </w:pPr>
      <w:r>
        <w:separator/>
      </w:r>
    </w:p>
  </w:footnote>
  <w:footnote w:type="continuationSeparator" w:id="0">
    <w:p w14:paraId="72AC12E5" w14:textId="77777777" w:rsidR="002635F1" w:rsidRDefault="002635F1" w:rsidP="007111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87798851"/>
      <w:docPartObj>
        <w:docPartGallery w:val="Page Numbers (Top of Page)"/>
        <w:docPartUnique/>
      </w:docPartObj>
    </w:sdtPr>
    <w:sdtEndPr>
      <w:rPr>
        <w:noProof/>
      </w:rPr>
    </w:sdtEndPr>
    <w:sdtContent>
      <w:p w14:paraId="74FDDB81" w14:textId="1B24D91F" w:rsidR="007111BD" w:rsidRPr="007111BD" w:rsidRDefault="007111BD" w:rsidP="007111BD">
        <w:pPr>
          <w:pStyle w:val="Header"/>
          <w:spacing w:line="480" w:lineRule="auto"/>
          <w:contextualSpacing/>
          <w:jc w:val="right"/>
          <w:rPr>
            <w:rFonts w:ascii="Times New Roman" w:hAnsi="Times New Roman" w:cs="Times New Roman"/>
            <w:sz w:val="24"/>
            <w:szCs w:val="24"/>
          </w:rPr>
        </w:pPr>
        <w:r w:rsidRPr="007111BD">
          <w:rPr>
            <w:rFonts w:ascii="Times New Roman" w:hAnsi="Times New Roman" w:cs="Times New Roman"/>
            <w:sz w:val="24"/>
            <w:szCs w:val="24"/>
          </w:rPr>
          <w:fldChar w:fldCharType="begin"/>
        </w:r>
        <w:r w:rsidRPr="007111BD">
          <w:rPr>
            <w:rFonts w:ascii="Times New Roman" w:hAnsi="Times New Roman" w:cs="Times New Roman"/>
            <w:sz w:val="24"/>
            <w:szCs w:val="24"/>
          </w:rPr>
          <w:instrText xml:space="preserve"> PAGE   \* MERGEFORMAT </w:instrText>
        </w:r>
        <w:r w:rsidRPr="007111BD">
          <w:rPr>
            <w:rFonts w:ascii="Times New Roman" w:hAnsi="Times New Roman" w:cs="Times New Roman"/>
            <w:sz w:val="24"/>
            <w:szCs w:val="24"/>
          </w:rPr>
          <w:fldChar w:fldCharType="separate"/>
        </w:r>
        <w:r w:rsidRPr="007111BD">
          <w:rPr>
            <w:rFonts w:ascii="Times New Roman" w:hAnsi="Times New Roman" w:cs="Times New Roman"/>
            <w:noProof/>
            <w:sz w:val="24"/>
            <w:szCs w:val="24"/>
          </w:rPr>
          <w:t>2</w:t>
        </w:r>
        <w:r w:rsidRPr="007111BD">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6DFE"/>
    <w:multiLevelType w:val="multilevel"/>
    <w:tmpl w:val="1248A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D57337"/>
    <w:multiLevelType w:val="hybridMultilevel"/>
    <w:tmpl w:val="4ADC27C0"/>
    <w:lvl w:ilvl="0" w:tplc="400EA7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211317">
    <w:abstractNumId w:val="0"/>
  </w:num>
  <w:num w:numId="2" w16cid:durableId="1544949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BD"/>
    <w:rsid w:val="00002427"/>
    <w:rsid w:val="00012F58"/>
    <w:rsid w:val="00032F58"/>
    <w:rsid w:val="00047A75"/>
    <w:rsid w:val="00052588"/>
    <w:rsid w:val="00062FF1"/>
    <w:rsid w:val="00063044"/>
    <w:rsid w:val="00077D60"/>
    <w:rsid w:val="000844BC"/>
    <w:rsid w:val="000A01E8"/>
    <w:rsid w:val="000A67D2"/>
    <w:rsid w:val="000A73B8"/>
    <w:rsid w:val="000B026B"/>
    <w:rsid w:val="000D2BF2"/>
    <w:rsid w:val="000D507E"/>
    <w:rsid w:val="000F6241"/>
    <w:rsid w:val="00107626"/>
    <w:rsid w:val="001123D7"/>
    <w:rsid w:val="00114C6A"/>
    <w:rsid w:val="00184445"/>
    <w:rsid w:val="001960C6"/>
    <w:rsid w:val="00196FD9"/>
    <w:rsid w:val="001A3345"/>
    <w:rsid w:val="001D0BF9"/>
    <w:rsid w:val="001D386D"/>
    <w:rsid w:val="001D78F1"/>
    <w:rsid w:val="001F57BD"/>
    <w:rsid w:val="001F61D0"/>
    <w:rsid w:val="0021032D"/>
    <w:rsid w:val="0023012E"/>
    <w:rsid w:val="00250D72"/>
    <w:rsid w:val="002538F7"/>
    <w:rsid w:val="00262640"/>
    <w:rsid w:val="002635F1"/>
    <w:rsid w:val="002C33BE"/>
    <w:rsid w:val="002C5D33"/>
    <w:rsid w:val="002C7E34"/>
    <w:rsid w:val="00313BD9"/>
    <w:rsid w:val="00337C0E"/>
    <w:rsid w:val="00352103"/>
    <w:rsid w:val="003563C9"/>
    <w:rsid w:val="00361CAF"/>
    <w:rsid w:val="003A507C"/>
    <w:rsid w:val="003A631B"/>
    <w:rsid w:val="003C4DA4"/>
    <w:rsid w:val="003E3605"/>
    <w:rsid w:val="003E3CB6"/>
    <w:rsid w:val="003E44C1"/>
    <w:rsid w:val="003E57D8"/>
    <w:rsid w:val="003F6F54"/>
    <w:rsid w:val="004011B2"/>
    <w:rsid w:val="004135E5"/>
    <w:rsid w:val="00423ACD"/>
    <w:rsid w:val="00424CAC"/>
    <w:rsid w:val="00427FD7"/>
    <w:rsid w:val="00482EB8"/>
    <w:rsid w:val="004B0851"/>
    <w:rsid w:val="004C1789"/>
    <w:rsid w:val="004D6EC8"/>
    <w:rsid w:val="004D7041"/>
    <w:rsid w:val="004E4DC0"/>
    <w:rsid w:val="004E626C"/>
    <w:rsid w:val="00517C25"/>
    <w:rsid w:val="005261FE"/>
    <w:rsid w:val="00533980"/>
    <w:rsid w:val="00550D30"/>
    <w:rsid w:val="00595121"/>
    <w:rsid w:val="00596633"/>
    <w:rsid w:val="005A170E"/>
    <w:rsid w:val="005A788A"/>
    <w:rsid w:val="005B1668"/>
    <w:rsid w:val="005C3486"/>
    <w:rsid w:val="005D32B1"/>
    <w:rsid w:val="005E2109"/>
    <w:rsid w:val="005E3E60"/>
    <w:rsid w:val="005F2CF1"/>
    <w:rsid w:val="005F35B4"/>
    <w:rsid w:val="00603493"/>
    <w:rsid w:val="006139F6"/>
    <w:rsid w:val="00655B0D"/>
    <w:rsid w:val="00662237"/>
    <w:rsid w:val="0067100E"/>
    <w:rsid w:val="006B1034"/>
    <w:rsid w:val="007111BD"/>
    <w:rsid w:val="007320F4"/>
    <w:rsid w:val="0074791F"/>
    <w:rsid w:val="0075758C"/>
    <w:rsid w:val="00760661"/>
    <w:rsid w:val="0077274C"/>
    <w:rsid w:val="00794D1B"/>
    <w:rsid w:val="007B68AA"/>
    <w:rsid w:val="007C4264"/>
    <w:rsid w:val="00840E7B"/>
    <w:rsid w:val="008537D6"/>
    <w:rsid w:val="0088148E"/>
    <w:rsid w:val="00890790"/>
    <w:rsid w:val="008B13B7"/>
    <w:rsid w:val="008B5C1C"/>
    <w:rsid w:val="008C1BAB"/>
    <w:rsid w:val="008F60E9"/>
    <w:rsid w:val="009011D1"/>
    <w:rsid w:val="009606CA"/>
    <w:rsid w:val="00985C58"/>
    <w:rsid w:val="00996106"/>
    <w:rsid w:val="009A43CB"/>
    <w:rsid w:val="009B0FFE"/>
    <w:rsid w:val="009D1E84"/>
    <w:rsid w:val="009D4523"/>
    <w:rsid w:val="009D7B37"/>
    <w:rsid w:val="009E71B5"/>
    <w:rsid w:val="00A20B28"/>
    <w:rsid w:val="00A2397E"/>
    <w:rsid w:val="00A43FA7"/>
    <w:rsid w:val="00A51B3B"/>
    <w:rsid w:val="00A61219"/>
    <w:rsid w:val="00AA76EA"/>
    <w:rsid w:val="00B03D5D"/>
    <w:rsid w:val="00B1011F"/>
    <w:rsid w:val="00B11068"/>
    <w:rsid w:val="00B1276F"/>
    <w:rsid w:val="00B3477B"/>
    <w:rsid w:val="00B35DB5"/>
    <w:rsid w:val="00B72377"/>
    <w:rsid w:val="00BE4CA4"/>
    <w:rsid w:val="00BE5BE7"/>
    <w:rsid w:val="00BE5F8C"/>
    <w:rsid w:val="00C134C1"/>
    <w:rsid w:val="00C22605"/>
    <w:rsid w:val="00C22F69"/>
    <w:rsid w:val="00C256E7"/>
    <w:rsid w:val="00C82ABB"/>
    <w:rsid w:val="00C926C9"/>
    <w:rsid w:val="00C94B12"/>
    <w:rsid w:val="00CA157A"/>
    <w:rsid w:val="00CA6E11"/>
    <w:rsid w:val="00CB0FA7"/>
    <w:rsid w:val="00CD54F3"/>
    <w:rsid w:val="00CF1A8A"/>
    <w:rsid w:val="00CF667E"/>
    <w:rsid w:val="00D1007B"/>
    <w:rsid w:val="00D15E7B"/>
    <w:rsid w:val="00D252B2"/>
    <w:rsid w:val="00D3397E"/>
    <w:rsid w:val="00D40B53"/>
    <w:rsid w:val="00D806A1"/>
    <w:rsid w:val="00DA78C0"/>
    <w:rsid w:val="00DB4FE9"/>
    <w:rsid w:val="00DC1ADC"/>
    <w:rsid w:val="00DC7854"/>
    <w:rsid w:val="00DD3D50"/>
    <w:rsid w:val="00DF0EEF"/>
    <w:rsid w:val="00E0117B"/>
    <w:rsid w:val="00E1030A"/>
    <w:rsid w:val="00E11AEA"/>
    <w:rsid w:val="00E12DC7"/>
    <w:rsid w:val="00E774E5"/>
    <w:rsid w:val="00E85F22"/>
    <w:rsid w:val="00E86830"/>
    <w:rsid w:val="00EF775C"/>
    <w:rsid w:val="00F95C3B"/>
    <w:rsid w:val="00FC5358"/>
    <w:rsid w:val="00FE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194D"/>
  <w15:chartTrackingRefBased/>
  <w15:docId w15:val="{5F57E7F0-269A-4A85-9076-C77FBB2E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1BD"/>
    <w:pPr>
      <w:tabs>
        <w:tab w:val="center" w:pos="4680"/>
        <w:tab w:val="right" w:pos="9360"/>
      </w:tabs>
      <w:spacing w:line="240" w:lineRule="auto"/>
    </w:pPr>
  </w:style>
  <w:style w:type="character" w:customStyle="1" w:styleId="HeaderChar">
    <w:name w:val="Header Char"/>
    <w:basedOn w:val="DefaultParagraphFont"/>
    <w:link w:val="Header"/>
    <w:uiPriority w:val="99"/>
    <w:rsid w:val="007111BD"/>
  </w:style>
  <w:style w:type="paragraph" w:styleId="Footer">
    <w:name w:val="footer"/>
    <w:basedOn w:val="Normal"/>
    <w:link w:val="FooterChar"/>
    <w:uiPriority w:val="99"/>
    <w:unhideWhenUsed/>
    <w:rsid w:val="007111BD"/>
    <w:pPr>
      <w:tabs>
        <w:tab w:val="center" w:pos="4680"/>
        <w:tab w:val="right" w:pos="9360"/>
      </w:tabs>
      <w:spacing w:line="240" w:lineRule="auto"/>
    </w:pPr>
  </w:style>
  <w:style w:type="character" w:customStyle="1" w:styleId="FooterChar">
    <w:name w:val="Footer Char"/>
    <w:basedOn w:val="DefaultParagraphFont"/>
    <w:link w:val="Footer"/>
    <w:uiPriority w:val="99"/>
    <w:rsid w:val="007111BD"/>
  </w:style>
  <w:style w:type="character" w:styleId="Hyperlink">
    <w:name w:val="Hyperlink"/>
    <w:basedOn w:val="DefaultParagraphFont"/>
    <w:uiPriority w:val="99"/>
    <w:unhideWhenUsed/>
    <w:rsid w:val="002C5D33"/>
    <w:rPr>
      <w:color w:val="0563C1" w:themeColor="hyperlink"/>
      <w:u w:val="single"/>
    </w:rPr>
  </w:style>
  <w:style w:type="character" w:styleId="UnresolvedMention">
    <w:name w:val="Unresolved Mention"/>
    <w:basedOn w:val="DefaultParagraphFont"/>
    <w:uiPriority w:val="99"/>
    <w:semiHidden/>
    <w:unhideWhenUsed/>
    <w:rsid w:val="00AA76EA"/>
    <w:rPr>
      <w:color w:val="605E5C"/>
      <w:shd w:val="clear" w:color="auto" w:fill="E1DFDD"/>
    </w:rPr>
  </w:style>
  <w:style w:type="paragraph" w:styleId="ListParagraph">
    <w:name w:val="List Paragraph"/>
    <w:basedOn w:val="Normal"/>
    <w:uiPriority w:val="34"/>
    <w:qFormat/>
    <w:rsid w:val="003F6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11951">
      <w:bodyDiv w:val="1"/>
      <w:marLeft w:val="0"/>
      <w:marRight w:val="0"/>
      <w:marTop w:val="0"/>
      <w:marBottom w:val="0"/>
      <w:divBdr>
        <w:top w:val="none" w:sz="0" w:space="0" w:color="auto"/>
        <w:left w:val="none" w:sz="0" w:space="0" w:color="auto"/>
        <w:bottom w:val="none" w:sz="0" w:space="0" w:color="auto"/>
        <w:right w:val="none" w:sz="0" w:space="0" w:color="auto"/>
      </w:divBdr>
    </w:div>
    <w:div w:id="87739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10.1016/j.outlook.2017.10.0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ursingworld.org/anc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10.1097/01.NPR.0000527569.36428.ed" TargetMode="External"/><Relationship Id="rId4" Type="http://schemas.openxmlformats.org/officeDocument/2006/relationships/webSettings" Target="webSettings.xml"/><Relationship Id="rId9" Type="http://schemas.openxmlformats.org/officeDocument/2006/relationships/hyperlink" Target="https://doi.org/10.1016/j.nurpra.2019.10.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James</dc:creator>
  <cp:keywords/>
  <dc:description/>
  <cp:lastModifiedBy>Doris Onyima</cp:lastModifiedBy>
  <cp:revision>2</cp:revision>
  <dcterms:created xsi:type="dcterms:W3CDTF">2023-08-16T19:59:00Z</dcterms:created>
  <dcterms:modified xsi:type="dcterms:W3CDTF">2023-08-16T19:59:00Z</dcterms:modified>
</cp:coreProperties>
</file>