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7F3E" w14:textId="77777777" w:rsidR="004B2E40" w:rsidRPr="004B2E40" w:rsidRDefault="004B2E40" w:rsidP="004B2E40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</w:rPr>
      </w:pPr>
      <w:r w:rsidRPr="004B2E40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 xml:space="preserve">NU-643-01-23PCSP </w:t>
      </w:r>
      <w:proofErr w:type="spellStart"/>
      <w:r w:rsidRPr="004B2E40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>Adv.Psychopharmacology</w:t>
      </w:r>
      <w:proofErr w:type="spellEnd"/>
    </w:p>
    <w:p w14:paraId="0A7B304A" w14:textId="77777777" w:rsidR="004B2E40" w:rsidRPr="004B2E40" w:rsidRDefault="004B2E40" w:rsidP="004B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4B2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32F8344A" w14:textId="77777777" w:rsidR="004B2E40" w:rsidRPr="004B2E40" w:rsidRDefault="004B2E40" w:rsidP="004B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40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76FAD791" w14:textId="77777777" w:rsidR="004B2E40" w:rsidRPr="004B2E40" w:rsidRDefault="004B2E40" w:rsidP="004B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3-01-23PCSP Adv.Psychopharmacology" w:history="1">
        <w:r w:rsidRPr="004B2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NU-643-01-23PCSP</w:t>
        </w:r>
      </w:hyperlink>
    </w:p>
    <w:p w14:paraId="102CC9F8" w14:textId="77777777" w:rsidR="004B2E40" w:rsidRPr="004B2E40" w:rsidRDefault="004B2E40" w:rsidP="004B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40">
        <w:rPr>
          <w:rFonts w:ascii="Times New Roman" w:eastAsia="Times New Roman" w:hAnsi="Times New Roman" w:cs="Times New Roman"/>
          <w:sz w:val="24"/>
          <w:szCs w:val="24"/>
        </w:rPr>
        <w:t>Week 6: Treatment Decision Making in Depression</w:t>
      </w:r>
    </w:p>
    <w:p w14:paraId="214CDEFA" w14:textId="77777777" w:rsidR="004B2E40" w:rsidRPr="004B2E40" w:rsidRDefault="004B2E40" w:rsidP="004B2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Forum" w:history="1">
        <w:r w:rsidRPr="004B2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6 Discussion 1: Depression Scenarios</w:t>
        </w:r>
      </w:hyperlink>
    </w:p>
    <w:p w14:paraId="1D12D2EC" w14:textId="77777777" w:rsidR="004B2E40" w:rsidRPr="004B2E40" w:rsidRDefault="004B2E40" w:rsidP="004B2E40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8" w:history="1">
        <w:r w:rsidRPr="004B2E40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 </w:t>
        </w:r>
      </w:hyperlink>
    </w:p>
    <w:p w14:paraId="763260C0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B40000"/>
          <w:sz w:val="36"/>
          <w:szCs w:val="36"/>
        </w:rPr>
      </w:pPr>
      <w:r w:rsidRPr="004B2E40">
        <w:rPr>
          <w:rFonts w:ascii="Arial" w:eastAsia="Times New Roman" w:hAnsi="Arial" w:cs="Times New Roman"/>
          <w:b/>
          <w:bCs/>
          <w:color w:val="B40000"/>
          <w:sz w:val="36"/>
          <w:szCs w:val="36"/>
        </w:rPr>
        <w:t>Week 6 Discussion 1: Depression Scenarios</w:t>
      </w:r>
    </w:p>
    <w:p w14:paraId="05B6AEB9" w14:textId="77777777" w:rsidR="004B2E40" w:rsidRPr="004B2E40" w:rsidRDefault="004B2E40" w:rsidP="004B2E40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b/>
          <w:bCs/>
          <w:color w:val="212529"/>
          <w:sz w:val="23"/>
          <w:szCs w:val="23"/>
          <w:shd w:val="clear" w:color="auto" w:fill="E9ECEF"/>
        </w:rPr>
        <w:t>To do: </w:t>
      </w:r>
      <w:r w:rsidRPr="004B2E40">
        <w:rPr>
          <w:rFonts w:ascii="Arial" w:eastAsia="Times New Roman" w:hAnsi="Arial" w:cs="Times New Roman"/>
          <w:color w:val="212529"/>
          <w:sz w:val="23"/>
          <w:szCs w:val="23"/>
          <w:shd w:val="clear" w:color="auto" w:fill="E9ECEF"/>
        </w:rPr>
        <w:t xml:space="preserve">Make forum posts: </w:t>
      </w:r>
      <w:proofErr w:type="gramStart"/>
      <w:r w:rsidRPr="004B2E40">
        <w:rPr>
          <w:rFonts w:ascii="Arial" w:eastAsia="Times New Roman" w:hAnsi="Arial" w:cs="Times New Roman"/>
          <w:color w:val="212529"/>
          <w:sz w:val="23"/>
          <w:szCs w:val="23"/>
          <w:shd w:val="clear" w:color="auto" w:fill="E9ECEF"/>
        </w:rPr>
        <w:t>1</w:t>
      </w:r>
      <w:proofErr w:type="gramEnd"/>
    </w:p>
    <w:p w14:paraId="4C59A42E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Value:</w:t>
      </w: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 100 points</w:t>
      </w:r>
    </w:p>
    <w:p w14:paraId="25FC62A9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Due:</w:t>
      </w: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 Create your initial post by </w:t>
      </w:r>
      <w:r w:rsidRPr="004B2E40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 xml:space="preserve">Day </w:t>
      </w:r>
      <w:proofErr w:type="gramStart"/>
      <w:r w:rsidRPr="004B2E40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4</w:t>
      </w: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, and</w:t>
      </w:r>
      <w:proofErr w:type="gramEnd"/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 xml:space="preserve"> reply to at least two of your classmates’ posts by </w:t>
      </w:r>
      <w:r w:rsidRPr="004B2E40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Day 7</w:t>
      </w: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.</w:t>
      </w:r>
    </w:p>
    <w:p w14:paraId="5E61C117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Grading Category:</w:t>
      </w: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 Discussion Forums</w:t>
      </w:r>
    </w:p>
    <w:p w14:paraId="67396512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4B2E40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Initial Post</w:t>
      </w:r>
    </w:p>
    <w:p w14:paraId="1FE75BF3" w14:textId="77777777" w:rsidR="004B2E40" w:rsidRPr="004B2E40" w:rsidRDefault="004B2E40" w:rsidP="004B2E40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For this discussion, you will build on your treatment plan from Week 5: Assignment 1: Depression Case Study. </w:t>
      </w:r>
      <w:r w:rsidRPr="004B2E40">
        <w:rPr>
          <w:rFonts w:ascii="Arial" w:eastAsia="Times New Roman" w:hAnsi="Arial" w:cs="Times New Roman"/>
          <w:i/>
          <w:iCs/>
          <w:color w:val="373A3C"/>
          <w:sz w:val="23"/>
          <w:szCs w:val="23"/>
        </w:rPr>
        <w:t>You will be seeing your patient at the six-week follow-up.</w:t>
      </w:r>
    </w:p>
    <w:p w14:paraId="09BF4F26" w14:textId="77777777" w:rsidR="004B2E40" w:rsidRPr="004B2E40" w:rsidRDefault="004B2E40" w:rsidP="004B2E40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Describe your treatment plan for your patient in each of these four scenarios. This means that you will have a treatment plan for </w:t>
      </w:r>
      <w:r w:rsidRPr="004B2E40">
        <w:rPr>
          <w:rFonts w:ascii="Arial" w:eastAsia="Times New Roman" w:hAnsi="Arial" w:cs="Times New Roman"/>
          <w:i/>
          <w:iCs/>
          <w:color w:val="373A3C"/>
          <w:sz w:val="23"/>
          <w:szCs w:val="23"/>
        </w:rPr>
        <w:t>each</w:t>
      </w: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 separate scenario.</w:t>
      </w:r>
    </w:p>
    <w:p w14:paraId="0B4C1E6E" w14:textId="77777777" w:rsidR="004B2E40" w:rsidRPr="004B2E40" w:rsidRDefault="004B2E40" w:rsidP="004B2E40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Your initial post should be in APA format with evidence-based references to support your statements.</w:t>
      </w:r>
    </w:p>
    <w:p w14:paraId="0238093A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3"/>
        <w:rPr>
          <w:rFonts w:ascii="Arial" w:eastAsia="Times New Roman" w:hAnsi="Arial" w:cs="Times New Roman"/>
          <w:b/>
          <w:bCs/>
          <w:color w:val="373A3C"/>
          <w:sz w:val="24"/>
          <w:szCs w:val="24"/>
        </w:rPr>
      </w:pPr>
      <w:r w:rsidRPr="004B2E40">
        <w:rPr>
          <w:rFonts w:ascii="Arial" w:eastAsia="Times New Roman" w:hAnsi="Arial" w:cs="Times New Roman"/>
          <w:b/>
          <w:bCs/>
          <w:color w:val="373A3C"/>
          <w:sz w:val="24"/>
          <w:szCs w:val="24"/>
        </w:rPr>
        <w:t>Scenarios</w:t>
      </w:r>
    </w:p>
    <w:p w14:paraId="3AC6B071" w14:textId="77777777" w:rsidR="004B2E40" w:rsidRPr="004B2E40" w:rsidRDefault="004B2E40" w:rsidP="004B2E40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Patient reports that there is no response to the medication.</w:t>
      </w:r>
    </w:p>
    <w:p w14:paraId="736BA5A2" w14:textId="77777777" w:rsidR="004B2E40" w:rsidRPr="004B2E40" w:rsidRDefault="004B2E40" w:rsidP="004B2E40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Patient reports that there is a partial response to the medication. Mood has lifted, but energy and motivation are still poor.</w:t>
      </w:r>
    </w:p>
    <w:p w14:paraId="03BE2CBE" w14:textId="77777777" w:rsidR="004B2E40" w:rsidRPr="004B2E40" w:rsidRDefault="004B2E40" w:rsidP="004B2E40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Patient reports that mood is improved but sexual side effects are interfering with quality of life.</w:t>
      </w:r>
    </w:p>
    <w:p w14:paraId="31C7364A" w14:textId="77777777" w:rsidR="004B2E40" w:rsidRPr="004B2E40" w:rsidRDefault="004B2E40" w:rsidP="004B2E40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 xml:space="preserve">Patient reports that mood has improved, but they now have an extreme increase in energy and can’t slow down, are not sleeping, and feel like they can get four </w:t>
      </w:r>
      <w:proofErr w:type="spellStart"/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days</w:t>
      </w:r>
      <w:proofErr w:type="spellEnd"/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 xml:space="preserve"> work completed in only a few hours.</w:t>
      </w:r>
    </w:p>
    <w:p w14:paraId="427A7060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4B2E40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Reply Posts</w:t>
      </w:r>
    </w:p>
    <w:p w14:paraId="6E35F541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Compare your response to two of your peers’ posts. What are the pros and cons of their choices? What other suggestions might you offer?</w:t>
      </w:r>
    </w:p>
    <w:p w14:paraId="270EAB69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lastRenderedPageBreak/>
        <w:t>Your response should include evidence of your review of the course material through the inclusion of proper citations using APA format.</w:t>
      </w:r>
    </w:p>
    <w:p w14:paraId="78D2AB17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Please refer to the </w:t>
      </w:r>
      <w:hyperlink r:id="rId9" w:tgtFrame="_blank" w:history="1">
        <w:r w:rsidRPr="004B2E40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Grading Rubric</w:t>
        </w:r>
      </w:hyperlink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 for details on how this activity will be graded.</w:t>
      </w:r>
    </w:p>
    <w:p w14:paraId="44FA8A4A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4B2E40">
        <w:rPr>
          <w:rFonts w:ascii="Arial" w:eastAsia="Times New Roman" w:hAnsi="Arial" w:cs="Times New Roman"/>
          <w:color w:val="373A3C"/>
          <w:sz w:val="23"/>
          <w:szCs w:val="23"/>
        </w:rPr>
        <w:t>The described expectations meet the passing level of 80 percent. Students are directed to review the Discussion Grading Rubric for criteria that exceed expectations.</w:t>
      </w:r>
    </w:p>
    <w:p w14:paraId="5A6A3705" w14:textId="1A25BE09" w:rsidR="004B2E40" w:rsidRDefault="004B2E40"/>
    <w:p w14:paraId="34F81C90" w14:textId="2D6C8A1E" w:rsidR="004B2E40" w:rsidRDefault="004B2E40"/>
    <w:p w14:paraId="37FB7784" w14:textId="4524DBE5" w:rsidR="004B2E40" w:rsidRDefault="004B2E40"/>
    <w:p w14:paraId="3214AAF9" w14:textId="5DEFD092" w:rsidR="004B2E40" w:rsidRDefault="004B2E40"/>
    <w:p w14:paraId="5A2A93DD" w14:textId="77777777" w:rsidR="004B2E40" w:rsidRPr="004B2E40" w:rsidRDefault="004B2E40" w:rsidP="004B2E40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4B2E40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NU-643-01-23PCSP </w:t>
      </w:r>
      <w:proofErr w:type="spellStart"/>
      <w:r w:rsidRPr="004B2E40">
        <w:rPr>
          <w:rFonts w:ascii="Arial" w:eastAsia="Times New Roman" w:hAnsi="Arial" w:cs="Arial"/>
          <w:b/>
          <w:bCs/>
          <w:kern w:val="36"/>
          <w:sz w:val="48"/>
          <w:szCs w:val="48"/>
        </w:rPr>
        <w:t>Adv.Psychopharmacology</w:t>
      </w:r>
      <w:proofErr w:type="spellEnd"/>
    </w:p>
    <w:p w14:paraId="2E777D52" w14:textId="77777777" w:rsidR="004B2E40" w:rsidRPr="004B2E40" w:rsidRDefault="004B2E40" w:rsidP="004B2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4B2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390F8C2E" w14:textId="77777777" w:rsidR="004B2E40" w:rsidRPr="004B2E40" w:rsidRDefault="004B2E40" w:rsidP="004B2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40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24818EF0" w14:textId="77777777" w:rsidR="004B2E40" w:rsidRPr="004B2E40" w:rsidRDefault="004B2E40" w:rsidP="004B2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NU-643-01-23PCSP Adv.Psychopharmacology" w:history="1">
        <w:r w:rsidRPr="004B2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NU-643-01-23PCSP</w:t>
        </w:r>
      </w:hyperlink>
    </w:p>
    <w:p w14:paraId="195558F1" w14:textId="77777777" w:rsidR="004B2E40" w:rsidRPr="004B2E40" w:rsidRDefault="004B2E40" w:rsidP="004B2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E40">
        <w:rPr>
          <w:rFonts w:ascii="Times New Roman" w:eastAsia="Times New Roman" w:hAnsi="Times New Roman" w:cs="Times New Roman"/>
          <w:sz w:val="24"/>
          <w:szCs w:val="24"/>
        </w:rPr>
        <w:t>Week 6: Treatment Decision Making in Depression</w:t>
      </w:r>
    </w:p>
    <w:p w14:paraId="7A41E186" w14:textId="77777777" w:rsidR="004B2E40" w:rsidRPr="004B2E40" w:rsidRDefault="004B2E40" w:rsidP="004B2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Page" w:history="1">
        <w:r w:rsidRPr="004B2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6: Learning Materials</w:t>
        </w:r>
      </w:hyperlink>
    </w:p>
    <w:p w14:paraId="4C75D8ED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4B2E40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6: Learning Materials</w:t>
      </w:r>
    </w:p>
    <w:p w14:paraId="600FD0B1" w14:textId="77777777" w:rsidR="004B2E40" w:rsidRPr="004B2E40" w:rsidRDefault="004B2E40" w:rsidP="004B2E40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b/>
          <w:bCs/>
          <w:color w:val="FFFFFF"/>
          <w:sz w:val="23"/>
          <w:szCs w:val="23"/>
          <w:shd w:val="clear" w:color="auto" w:fill="5CB85C"/>
        </w:rPr>
        <w:t>Done: </w:t>
      </w:r>
      <w:r w:rsidRPr="004B2E40">
        <w:rPr>
          <w:rFonts w:ascii="Arial" w:eastAsia="Times New Roman" w:hAnsi="Arial" w:cs="Arial"/>
          <w:color w:val="FFFFFF"/>
          <w:sz w:val="23"/>
          <w:szCs w:val="23"/>
          <w:shd w:val="clear" w:color="auto" w:fill="5CB85C"/>
        </w:rPr>
        <w:t>View</w:t>
      </w:r>
    </w:p>
    <w:p w14:paraId="59C5F2E9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2E40">
        <w:rPr>
          <w:rFonts w:ascii="Arial" w:eastAsia="Times New Roman" w:hAnsi="Arial" w:cs="Arial"/>
          <w:b/>
          <w:bCs/>
          <w:color w:val="B40000"/>
          <w:sz w:val="27"/>
          <w:szCs w:val="27"/>
        </w:rPr>
        <w:t>Readings</w:t>
      </w:r>
    </w:p>
    <w:p w14:paraId="1A04C1F8" w14:textId="77777777" w:rsidR="004B2E40" w:rsidRPr="004B2E40" w:rsidRDefault="004B2E40" w:rsidP="004B2E40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>Stahl, S. (2021). </w:t>
      </w:r>
      <w:r w:rsidRPr="004B2E40">
        <w:rPr>
          <w:rFonts w:ascii="Arial" w:eastAsia="Times New Roman" w:hAnsi="Arial" w:cs="Arial"/>
          <w:i/>
          <w:iCs/>
          <w:color w:val="373A3C"/>
          <w:sz w:val="23"/>
          <w:szCs w:val="23"/>
        </w:rPr>
        <w:t>Essential psychopharmacology: Neuroscientific Basis and Practical Applications</w:t>
      </w:r>
      <w:r w:rsidRPr="004B2E40">
        <w:rPr>
          <w:rFonts w:ascii="Arial" w:eastAsia="Times New Roman" w:hAnsi="Arial" w:cs="Arial"/>
          <w:color w:val="373A3C"/>
          <w:sz w:val="23"/>
          <w:szCs w:val="23"/>
        </w:rPr>
        <w:t> (5th ed.). Cambridge University Press.</w:t>
      </w:r>
    </w:p>
    <w:p w14:paraId="4391FB18" w14:textId="77777777" w:rsidR="004B2E40" w:rsidRPr="004B2E40" w:rsidRDefault="004B2E40" w:rsidP="004B2E40">
      <w:pPr>
        <w:numPr>
          <w:ilvl w:val="1"/>
          <w:numId w:val="5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>Chapter 7, “Treatment of Mood Disorders: So Called ‘ Antidepressants’ and ‘ Mood Stabilizers’”</w:t>
      </w:r>
    </w:p>
    <w:p w14:paraId="525AA3CE" w14:textId="77777777" w:rsidR="004B2E40" w:rsidRPr="004B2E40" w:rsidRDefault="004B2E40" w:rsidP="004B2E40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>Stahl, S. (2020). Essential psychopharmacology: The prescriber's guide (7th ed.). Cambridge University Press. (Reference as needed.)</w:t>
      </w:r>
    </w:p>
    <w:p w14:paraId="7A4AF8BD" w14:textId="77777777" w:rsidR="004B2E40" w:rsidRPr="004B2E40" w:rsidRDefault="004B2E40" w:rsidP="004B2E40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The </w:t>
      </w: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Carlat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 Report: </w:t>
      </w:r>
      <w:hyperlink r:id="rId13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Neurostimulation devices for depression: An overview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 (2015).</w:t>
      </w:r>
    </w:p>
    <w:p w14:paraId="293561DF" w14:textId="77777777" w:rsidR="004B2E40" w:rsidRPr="004B2E40" w:rsidRDefault="004B2E40" w:rsidP="004B2E40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The </w:t>
      </w: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Carlat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 Report: </w:t>
      </w:r>
      <w:hyperlink r:id="rId14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Talking about side effects with your patients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 (2011).</w:t>
      </w:r>
    </w:p>
    <w:p w14:paraId="7FF8818C" w14:textId="77777777" w:rsidR="004B2E40" w:rsidRPr="004B2E40" w:rsidRDefault="004B2E40" w:rsidP="004B2E40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The </w:t>
      </w: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Carlat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 Report: </w:t>
      </w:r>
      <w:hyperlink r:id="rId15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Side effects management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 (2011).</w:t>
      </w:r>
    </w:p>
    <w:p w14:paraId="7B8EDA62" w14:textId="77777777" w:rsidR="004B2E40" w:rsidRPr="004B2E40" w:rsidRDefault="004B2E40" w:rsidP="004B2E40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The </w:t>
      </w: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Carlat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 Report: </w:t>
      </w:r>
      <w:hyperlink r:id="rId16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Rare but serious antidepressant side effects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 (2008).</w:t>
      </w:r>
    </w:p>
    <w:p w14:paraId="325CCBA0" w14:textId="77777777" w:rsidR="004B2E40" w:rsidRPr="004B2E40" w:rsidRDefault="004B2E40" w:rsidP="004B2E40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Serretti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, A., &amp; </w:t>
      </w: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Fabbri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>, C. (2014). </w:t>
      </w:r>
      <w:hyperlink r:id="rId17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Factors that predispose patients to treatment-resistant depression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2CFC93DD" w14:textId="77777777" w:rsidR="004B2E40" w:rsidRPr="004B2E40" w:rsidRDefault="004B2E40" w:rsidP="004B2E40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>Aiken, C. (2019). </w:t>
      </w:r>
      <w:hyperlink r:id="rId18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Treatment-Resistant Depression: 7 Steps To Better Outcomes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70C15DD9" w14:textId="77777777" w:rsidR="004B2E40" w:rsidRPr="004B2E40" w:rsidRDefault="004B2E40" w:rsidP="004B2E40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pict w14:anchorId="6B636558">
          <v:rect id="_x0000_i1025" style="width:0;height:0" o:hralign="center" o:hrstd="t" o:hr="t" fillcolor="#a0a0a0" stroked="f"/>
        </w:pict>
      </w:r>
    </w:p>
    <w:p w14:paraId="453A427F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2E40">
        <w:rPr>
          <w:rFonts w:ascii="Arial" w:eastAsia="Times New Roman" w:hAnsi="Arial" w:cs="Arial"/>
          <w:b/>
          <w:bCs/>
          <w:color w:val="B40000"/>
          <w:sz w:val="27"/>
          <w:szCs w:val="27"/>
        </w:rPr>
        <w:t xml:space="preserve">Week 6: Note-taking </w:t>
      </w:r>
      <w:proofErr w:type="gramStart"/>
      <w:r w:rsidRPr="004B2E40">
        <w:rPr>
          <w:rFonts w:ascii="Arial" w:eastAsia="Times New Roman" w:hAnsi="Arial" w:cs="Arial"/>
          <w:b/>
          <w:bCs/>
          <w:color w:val="B40000"/>
          <w:sz w:val="27"/>
          <w:szCs w:val="27"/>
        </w:rPr>
        <w:t>Tool</w:t>
      </w:r>
      <w:proofErr w:type="gramEnd"/>
    </w:p>
    <w:p w14:paraId="6715D4EE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lastRenderedPageBreak/>
        <w:t>The </w:t>
      </w:r>
      <w:hyperlink r:id="rId19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Note-taking Tool Week 6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 is a web-based study tool that provides helpful thoughts and questions to help you focus and master the course materials throughout this module. It is important to reference the Note-taking Tools (which are printable and downloadable) as you do your readings each week so that you are prepared for quizzes in this course.</w:t>
      </w:r>
    </w:p>
    <w:p w14:paraId="4B96A3A6" w14:textId="77777777" w:rsidR="004B2E40" w:rsidRPr="004B2E40" w:rsidRDefault="004B2E40" w:rsidP="004B2E40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pict w14:anchorId="5F33E451">
          <v:rect id="_x0000_i1026" style="width:0;height:0" o:hralign="center" o:hrstd="t" o:hr="t" fillcolor="#a0a0a0" stroked="f"/>
        </w:pict>
      </w:r>
    </w:p>
    <w:p w14:paraId="6D10F470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2E40">
        <w:rPr>
          <w:rFonts w:ascii="Arial" w:eastAsia="Times New Roman" w:hAnsi="Arial" w:cs="Arial"/>
          <w:b/>
          <w:bCs/>
          <w:color w:val="B40000"/>
          <w:sz w:val="27"/>
          <w:szCs w:val="27"/>
        </w:rPr>
        <w:t>Video and Faculty Chapter Lecture</w:t>
      </w:r>
    </w:p>
    <w:p w14:paraId="3E7E646C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2E40">
        <w:rPr>
          <w:rFonts w:ascii="Arial" w:eastAsia="Times New Roman" w:hAnsi="Arial" w:cs="Arial"/>
          <w:b/>
          <w:bCs/>
          <w:color w:val="373A3C"/>
          <w:sz w:val="24"/>
          <w:szCs w:val="24"/>
        </w:rPr>
        <w:t>Chapter 7 (1:39:17 minutes)</w:t>
      </w:r>
    </w:p>
    <w:p w14:paraId="11DF6744" w14:textId="77777777" w:rsidR="004B2E40" w:rsidRPr="004B2E40" w:rsidRDefault="004B2E40" w:rsidP="004B2E40">
      <w:pPr>
        <w:numPr>
          <w:ilvl w:val="0"/>
          <w:numId w:val="6"/>
        </w:numPr>
        <w:shd w:val="clear" w:color="auto" w:fill="000000"/>
        <w:spacing w:after="0" w:line="240" w:lineRule="auto"/>
        <w:ind w:left="495"/>
        <w:jc w:val="center"/>
        <w:rPr>
          <w:rFonts w:ascii="Arial" w:eastAsia="Times New Roman" w:hAnsi="Arial" w:cs="Arial"/>
          <w:color w:val="C1C1C1"/>
          <w:sz w:val="18"/>
          <w:szCs w:val="18"/>
        </w:rPr>
      </w:pPr>
      <w:r w:rsidRPr="004B2E40">
        <w:rPr>
          <w:rFonts w:ascii="Arial" w:eastAsia="Times New Roman" w:hAnsi="Arial" w:cs="Arial"/>
          <w:noProof/>
          <w:color w:val="C1C1C1"/>
          <w:sz w:val="18"/>
          <w:szCs w:val="18"/>
        </w:rPr>
        <w:drawing>
          <wp:inline distT="0" distB="0" distL="0" distR="0" wp14:anchorId="2D9D17F0" wp14:editId="7EAC0F8D">
            <wp:extent cx="1143000" cy="857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961FC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sz w:val="23"/>
          <w:szCs w:val="23"/>
        </w:rPr>
      </w:pPr>
      <w:hyperlink r:id="rId21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Chapter 7 Video Transcript</w:t>
        </w:r>
      </w:hyperlink>
    </w:p>
    <w:p w14:paraId="2B80E8EC" w14:textId="77777777" w:rsidR="004B2E40" w:rsidRPr="004B2E40" w:rsidRDefault="004B2E40" w:rsidP="004B2E40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pict w14:anchorId="64CAE14C">
          <v:rect id="_x0000_i1027" style="width:0;height:0" o:hralign="center" o:hrstd="t" o:hr="t" fillcolor="#a0a0a0" stroked="f"/>
        </w:pict>
      </w:r>
    </w:p>
    <w:p w14:paraId="0B74808D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2E40">
        <w:rPr>
          <w:rFonts w:ascii="Arial" w:eastAsia="Times New Roman" w:hAnsi="Arial" w:cs="Arial"/>
          <w:b/>
          <w:bCs/>
          <w:color w:val="B40000"/>
          <w:sz w:val="27"/>
          <w:szCs w:val="27"/>
        </w:rPr>
        <w:t>Presentation</w:t>
      </w:r>
    </w:p>
    <w:p w14:paraId="0F745A65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>Review key points from this module:</w:t>
      </w:r>
    </w:p>
    <w:p w14:paraId="7DBC9EDE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4B2E40">
        <w:rPr>
          <w:rFonts w:ascii="Arial" w:eastAsia="Times New Roman" w:hAnsi="Arial" w:cs="Arial"/>
          <w:b/>
          <w:bCs/>
          <w:color w:val="373A3C"/>
          <w:sz w:val="24"/>
          <w:szCs w:val="24"/>
        </w:rPr>
        <w:t>After the First Appointment: Treatment Decisions Making in Depression Presentation (22:19 minutes)</w:t>
      </w:r>
    </w:p>
    <w:p w14:paraId="4827A41B" w14:textId="77777777" w:rsidR="004B2E40" w:rsidRPr="004B2E40" w:rsidRDefault="004B2E40" w:rsidP="004B2E40">
      <w:pPr>
        <w:numPr>
          <w:ilvl w:val="0"/>
          <w:numId w:val="7"/>
        </w:numPr>
        <w:shd w:val="clear" w:color="auto" w:fill="000000"/>
        <w:spacing w:after="0" w:line="240" w:lineRule="auto"/>
        <w:ind w:left="495"/>
        <w:jc w:val="center"/>
        <w:rPr>
          <w:rFonts w:ascii="Arial" w:eastAsia="Times New Roman" w:hAnsi="Arial" w:cs="Arial"/>
          <w:color w:val="C1C1C1"/>
          <w:sz w:val="18"/>
          <w:szCs w:val="18"/>
        </w:rPr>
      </w:pPr>
      <w:r w:rsidRPr="004B2E40">
        <w:rPr>
          <w:rFonts w:ascii="Arial" w:eastAsia="Times New Roman" w:hAnsi="Arial" w:cs="Arial"/>
          <w:noProof/>
          <w:color w:val="C1C1C1"/>
          <w:sz w:val="18"/>
          <w:szCs w:val="18"/>
        </w:rPr>
        <w:drawing>
          <wp:inline distT="0" distB="0" distL="0" distR="0" wp14:anchorId="29DD8B5C" wp14:editId="33381B12">
            <wp:extent cx="1143000" cy="838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8A95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sz w:val="23"/>
          <w:szCs w:val="23"/>
        </w:rPr>
      </w:pPr>
      <w:hyperlink r:id="rId23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Treatment Decisions Making in Depression Presentation Transcript</w:t>
        </w:r>
      </w:hyperlink>
    </w:p>
    <w:p w14:paraId="3C0449C0" w14:textId="77777777" w:rsidR="004B2E40" w:rsidRPr="004B2E40" w:rsidRDefault="004B2E40" w:rsidP="004B2E40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pict w14:anchorId="563213B3">
          <v:rect id="_x0000_i1028" style="width:0;height:0" o:hralign="center" o:hrstd="t" o:hr="t" fillcolor="#a0a0a0" stroked="f"/>
        </w:pict>
      </w:r>
    </w:p>
    <w:p w14:paraId="0B8E1981" w14:textId="77777777" w:rsidR="004B2E40" w:rsidRPr="004B2E40" w:rsidRDefault="004B2E40" w:rsidP="004B2E40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4B2E40">
        <w:rPr>
          <w:rFonts w:ascii="Arial" w:eastAsia="Times New Roman" w:hAnsi="Arial" w:cs="Arial"/>
          <w:b/>
          <w:bCs/>
          <w:color w:val="B40000"/>
          <w:sz w:val="27"/>
          <w:szCs w:val="27"/>
        </w:rPr>
        <w:t>Clinical Resources</w:t>
      </w:r>
    </w:p>
    <w:p w14:paraId="657519AA" w14:textId="77777777" w:rsidR="004B2E40" w:rsidRPr="004B2E40" w:rsidRDefault="004B2E40" w:rsidP="004B2E40">
      <w:pPr>
        <w:numPr>
          <w:ilvl w:val="0"/>
          <w:numId w:val="8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The </w:t>
      </w: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Carlat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 Report (2011). </w:t>
      </w:r>
      <w:hyperlink r:id="rId24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Side Effect Scale (PDF)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58668A9D" w14:textId="77777777" w:rsidR="004B2E40" w:rsidRPr="004B2E40" w:rsidRDefault="004B2E40" w:rsidP="004B2E40">
      <w:pPr>
        <w:numPr>
          <w:ilvl w:val="0"/>
          <w:numId w:val="8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>The National Institute of Mental Health. </w:t>
      </w:r>
      <w:hyperlink r:id="rId25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The Star*D clinical trial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70E08C8A" w14:textId="77777777" w:rsidR="004B2E40" w:rsidRPr="004B2E40" w:rsidRDefault="004B2E40" w:rsidP="004B2E40">
      <w:pPr>
        <w:numPr>
          <w:ilvl w:val="0"/>
          <w:numId w:val="8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>UpToDate. </w:t>
      </w:r>
      <w:hyperlink r:id="rId26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A3EBFF"/>
          </w:rPr>
          <w:t>Side Effects of Antidepressants (PPT)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717C6C5C" w14:textId="77777777" w:rsidR="004B2E40" w:rsidRPr="004B2E40" w:rsidRDefault="004B2E40" w:rsidP="004B2E40">
      <w:pPr>
        <w:numPr>
          <w:ilvl w:val="0"/>
          <w:numId w:val="8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PsychDB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>. (2022). </w:t>
      </w:r>
      <w:hyperlink r:id="rId27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Psychiatry Practice Guidelines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4D560AB8" w14:textId="77777777" w:rsidR="004B2E40" w:rsidRPr="004B2E40" w:rsidRDefault="004B2E40" w:rsidP="004B2E40">
      <w:pPr>
        <w:numPr>
          <w:ilvl w:val="0"/>
          <w:numId w:val="8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The </w:t>
      </w:r>
      <w:proofErr w:type="spellStart"/>
      <w:r w:rsidRPr="004B2E40">
        <w:rPr>
          <w:rFonts w:ascii="Arial" w:eastAsia="Times New Roman" w:hAnsi="Arial" w:cs="Arial"/>
          <w:color w:val="373A3C"/>
          <w:sz w:val="23"/>
          <w:szCs w:val="23"/>
        </w:rPr>
        <w:t>Carlat</w:t>
      </w:r>
      <w:proofErr w:type="spellEnd"/>
      <w:r w:rsidRPr="004B2E40">
        <w:rPr>
          <w:rFonts w:ascii="Arial" w:eastAsia="Times New Roman" w:hAnsi="Arial" w:cs="Arial"/>
          <w:color w:val="373A3C"/>
          <w:sz w:val="23"/>
          <w:szCs w:val="23"/>
        </w:rPr>
        <w:t xml:space="preserve"> Report. (2015). </w:t>
      </w:r>
      <w:hyperlink r:id="rId28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Lab Monitoring of Psychiatric Medications (PDF)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78E61413" w14:textId="77777777" w:rsidR="004B2E40" w:rsidRPr="004B2E40" w:rsidRDefault="004B2E40" w:rsidP="004B2E40">
      <w:pPr>
        <w:numPr>
          <w:ilvl w:val="0"/>
          <w:numId w:val="8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4B2E40">
        <w:rPr>
          <w:rFonts w:ascii="Arial" w:eastAsia="Times New Roman" w:hAnsi="Arial" w:cs="Arial"/>
          <w:color w:val="373A3C"/>
          <w:sz w:val="23"/>
          <w:szCs w:val="23"/>
        </w:rPr>
        <w:t>Texas Health and Human Services. (2022). </w:t>
      </w:r>
      <w:hyperlink r:id="rId29" w:tgtFrame="_blank" w:history="1">
        <w:r w:rsidRPr="004B2E40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Psychotropic Monitoring Inpatient Guidelines </w:t>
        </w:r>
      </w:hyperlink>
      <w:r w:rsidRPr="004B2E40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54216122" w14:textId="77777777" w:rsidR="004B2E40" w:rsidRDefault="004B2E40"/>
    <w:sectPr w:rsidR="004B2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DB9"/>
    <w:multiLevelType w:val="multilevel"/>
    <w:tmpl w:val="B31C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34F09"/>
    <w:multiLevelType w:val="multilevel"/>
    <w:tmpl w:val="B8F8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438D1"/>
    <w:multiLevelType w:val="multilevel"/>
    <w:tmpl w:val="D9F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C66B1"/>
    <w:multiLevelType w:val="multilevel"/>
    <w:tmpl w:val="D0AA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B4786"/>
    <w:multiLevelType w:val="multilevel"/>
    <w:tmpl w:val="5EA4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F5002"/>
    <w:multiLevelType w:val="multilevel"/>
    <w:tmpl w:val="4ECC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7049C"/>
    <w:multiLevelType w:val="multilevel"/>
    <w:tmpl w:val="08DE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10FD8"/>
    <w:multiLevelType w:val="multilevel"/>
    <w:tmpl w:val="100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851535">
    <w:abstractNumId w:val="1"/>
  </w:num>
  <w:num w:numId="2" w16cid:durableId="977806972">
    <w:abstractNumId w:val="3"/>
  </w:num>
  <w:num w:numId="3" w16cid:durableId="418217929">
    <w:abstractNumId w:val="6"/>
  </w:num>
  <w:num w:numId="4" w16cid:durableId="1936666334">
    <w:abstractNumId w:val="4"/>
  </w:num>
  <w:num w:numId="5" w16cid:durableId="984774182">
    <w:abstractNumId w:val="0"/>
  </w:num>
  <w:num w:numId="6" w16cid:durableId="1640454700">
    <w:abstractNumId w:val="7"/>
  </w:num>
  <w:num w:numId="7" w16cid:durableId="9110581">
    <w:abstractNumId w:val="5"/>
  </w:num>
  <w:num w:numId="8" w16cid:durableId="6900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0"/>
    <w:rsid w:val="004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081"/>
  <w15:chartTrackingRefBased/>
  <w15:docId w15:val="{12CF4F06-C95C-4CD4-A5ED-D96936A1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359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349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4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303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4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1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5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128681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913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905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2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301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7515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9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4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38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82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2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613584" TargetMode="External"/><Relationship Id="rId13" Type="http://schemas.openxmlformats.org/officeDocument/2006/relationships/hyperlink" Target="https://thecarlatreport-com.regiscollege.idm.oclc.org/the-carlat-psychiatry-report/neurostimulation-devices-depression-overview/" TargetMode="External"/><Relationship Id="rId18" Type="http://schemas.openxmlformats.org/officeDocument/2006/relationships/hyperlink" Target="https://www.psychiatrictimes.com/depression/treatment-resistant-depression-7-steps-better-outcomes" TargetMode="External"/><Relationship Id="rId26" Type="http://schemas.openxmlformats.org/officeDocument/2006/relationships/hyperlink" Target="https://www.uptodate.com/contents/image?imageKey=PC%2F624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mscontent.embanet.com/RC/MSN/NU643/Transcripts/RC-MSN-NU643-Chapter_7_SP121.html" TargetMode="External"/><Relationship Id="rId7" Type="http://schemas.openxmlformats.org/officeDocument/2006/relationships/hyperlink" Target="https://myonline.regiscollege.edu/mod/forum/view.php?id=613584" TargetMode="External"/><Relationship Id="rId12" Type="http://schemas.openxmlformats.org/officeDocument/2006/relationships/hyperlink" Target="https://myonline.regiscollege.edu/mod/page/view.php?id=613582" TargetMode="External"/><Relationship Id="rId17" Type="http://schemas.openxmlformats.org/officeDocument/2006/relationships/hyperlink" Target="https://www.psychiatrictimes.com/special-reports/factors-predispose-patients-treatment-resistant-depression" TargetMode="External"/><Relationship Id="rId25" Type="http://schemas.openxmlformats.org/officeDocument/2006/relationships/hyperlink" Target="https://www.nimh.nih.gov/funding/clinical-research/practical/stard/allmedicationlevels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carlatreport-com.regiscollege.idm.oclc.org/the-carlat-psychiatry-report/serious-rare-antidepressant-side-effects/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s://www.hhs.texas.gov/sites/default/files/documents/doing-business-with-hhs/provider-portal/facilities-regulation/psychiatric/psychotropic-monitoring-guidelin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591" TargetMode="External"/><Relationship Id="rId11" Type="http://schemas.openxmlformats.org/officeDocument/2006/relationships/hyperlink" Target="https://myonline.regiscollege.edu/course/view.php?id=4591" TargetMode="External"/><Relationship Id="rId24" Type="http://schemas.openxmlformats.org/officeDocument/2006/relationships/hyperlink" Target="https://s26722.pcdn.co/wp-content/uploads/2011/05/side-effects-scale.pdf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thecarlatreport-com.regiscollege.idm.oclc.org/the-carlat-psychiatry-report/side-effect-management/" TargetMode="External"/><Relationship Id="rId23" Type="http://schemas.openxmlformats.org/officeDocument/2006/relationships/hyperlink" Target="https://lmscontent.embanet.com/RC/MSN/NU643/Transcripts/NU643_W6_Appointment-Treatment-Decisions-Making-Depression_Transcript.html" TargetMode="External"/><Relationship Id="rId28" Type="http://schemas.openxmlformats.org/officeDocument/2006/relationships/hyperlink" Target="https://s26722.pcdn.co/wp-content/uploads/2017/11/TCPR_NovDec2015_Tests_Table_2.pdf" TargetMode="External"/><Relationship Id="rId10" Type="http://schemas.openxmlformats.org/officeDocument/2006/relationships/hyperlink" Target="https://myonline.regiscollege.edu/my/" TargetMode="External"/><Relationship Id="rId19" Type="http://schemas.openxmlformats.org/officeDocument/2006/relationships/hyperlink" Target="https://lmscontent.embanet.com/RC/MSN/NU643/Docs/NU643_Week_6_Note_Taking_Tool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Discussion_Question_Rubric_1.html" TargetMode="External"/><Relationship Id="rId14" Type="http://schemas.openxmlformats.org/officeDocument/2006/relationships/hyperlink" Target="https://thecarlatreport-com.regiscollege.idm.oclc.org/the-carlat-psychiatry-report/talking-about-side-effects-your-patients/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www.psychdb.com/teaching/clinical-practice-guidelines-c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2023-02-06T04:50:00Z</dcterms:created>
  <dcterms:modified xsi:type="dcterms:W3CDTF">2023-02-06T04:52:00Z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fe30088b-fe4f-4886-9e78-aec40a9edcdd</vt:lpwstr>
  </property>
</Properties>
</file>