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9C" w:rsidRPr="00BA2A15" w:rsidRDefault="00364D9C" w:rsidP="00BA2A1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A15">
        <w:rPr>
          <w:rFonts w:ascii="Times New Roman" w:hAnsi="Times New Roman" w:cs="Times New Roman"/>
          <w:b/>
          <w:sz w:val="24"/>
          <w:szCs w:val="24"/>
        </w:rPr>
        <w:t xml:space="preserve">NU-650 </w:t>
      </w:r>
      <w:proofErr w:type="spellStart"/>
      <w:r w:rsidRPr="00BA2A15">
        <w:rPr>
          <w:rFonts w:ascii="Times New Roman" w:hAnsi="Times New Roman" w:cs="Times New Roman"/>
          <w:b/>
          <w:sz w:val="24"/>
          <w:szCs w:val="24"/>
        </w:rPr>
        <w:t>Wk</w:t>
      </w:r>
      <w:proofErr w:type="spellEnd"/>
      <w:r w:rsidRPr="00BA2A15">
        <w:rPr>
          <w:rFonts w:ascii="Times New Roman" w:hAnsi="Times New Roman" w:cs="Times New Roman"/>
          <w:b/>
          <w:sz w:val="24"/>
          <w:szCs w:val="24"/>
        </w:rPr>
        <w:t xml:space="preserve"> 1 DQ 2</w:t>
      </w:r>
    </w:p>
    <w:p w:rsidR="006D2E04" w:rsidRDefault="0051189A" w:rsidP="00BA2A1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2A15">
        <w:rPr>
          <w:rFonts w:ascii="Times New Roman" w:hAnsi="Times New Roman" w:cs="Times New Roman"/>
          <w:sz w:val="24"/>
          <w:szCs w:val="24"/>
        </w:rPr>
        <w:t xml:space="preserve">D.N. is a </w:t>
      </w:r>
      <w:r w:rsidR="004E3C3F" w:rsidRPr="00BA2A15">
        <w:rPr>
          <w:rFonts w:ascii="Times New Roman" w:hAnsi="Times New Roman" w:cs="Times New Roman"/>
          <w:sz w:val="24"/>
          <w:szCs w:val="24"/>
        </w:rPr>
        <w:t>39</w:t>
      </w:r>
      <w:r w:rsidR="00CE00CC" w:rsidRPr="00BA2A15">
        <w:rPr>
          <w:rFonts w:ascii="Times New Roman" w:hAnsi="Times New Roman" w:cs="Times New Roman"/>
          <w:sz w:val="24"/>
          <w:szCs w:val="24"/>
        </w:rPr>
        <w:t xml:space="preserve">-year-old Latino female who </w:t>
      </w:r>
      <w:r w:rsidR="00822FB8" w:rsidRPr="00BA2A15">
        <w:rPr>
          <w:rFonts w:ascii="Times New Roman" w:hAnsi="Times New Roman" w:cs="Times New Roman"/>
          <w:sz w:val="24"/>
          <w:szCs w:val="24"/>
        </w:rPr>
        <w:t>presents</w:t>
      </w:r>
      <w:r w:rsidR="00FA7FEA" w:rsidRPr="00BA2A15">
        <w:rPr>
          <w:rFonts w:ascii="Times New Roman" w:hAnsi="Times New Roman" w:cs="Times New Roman"/>
          <w:sz w:val="24"/>
          <w:szCs w:val="24"/>
        </w:rPr>
        <w:t xml:space="preserve"> to the facility for shortness of breath.</w:t>
      </w:r>
      <w:r w:rsidR="00822FB8" w:rsidRPr="00BA2A15">
        <w:rPr>
          <w:rFonts w:ascii="Times New Roman" w:hAnsi="Times New Roman" w:cs="Times New Roman"/>
          <w:sz w:val="24"/>
          <w:szCs w:val="24"/>
        </w:rPr>
        <w:t xml:space="preserve"> This is her first visit to the office for </w:t>
      </w:r>
      <w:r w:rsidR="00B62DA7" w:rsidRPr="00BA2A15">
        <w:rPr>
          <w:rFonts w:ascii="Times New Roman" w:hAnsi="Times New Roman" w:cs="Times New Roman"/>
          <w:sz w:val="24"/>
          <w:szCs w:val="24"/>
        </w:rPr>
        <w:t>the</w:t>
      </w:r>
      <w:r w:rsidR="00822FB8" w:rsidRPr="00BA2A15">
        <w:rPr>
          <w:rFonts w:ascii="Times New Roman" w:hAnsi="Times New Roman" w:cs="Times New Roman"/>
          <w:sz w:val="24"/>
          <w:szCs w:val="24"/>
        </w:rPr>
        <w:t xml:space="preserve"> h</w:t>
      </w:r>
      <w:r w:rsidR="00B62DA7" w:rsidRPr="00BA2A15">
        <w:rPr>
          <w:rFonts w:ascii="Times New Roman" w:hAnsi="Times New Roman" w:cs="Times New Roman"/>
          <w:sz w:val="24"/>
          <w:szCs w:val="24"/>
        </w:rPr>
        <w:t xml:space="preserve">ealth assessment. Notably, she was previously diagnosed with generalized anxiety disorder and takes Paxil medication religiously. D.N. has been sober for the last five </w:t>
      </w:r>
      <w:r w:rsidR="004A4E3B" w:rsidRPr="00BA2A15">
        <w:rPr>
          <w:rFonts w:ascii="Times New Roman" w:hAnsi="Times New Roman" w:cs="Times New Roman"/>
          <w:sz w:val="24"/>
          <w:szCs w:val="24"/>
        </w:rPr>
        <w:t>years, doesn’t smoke, and is a full-time social worker</w:t>
      </w:r>
      <w:r w:rsidR="00B62DA7" w:rsidRPr="00BA2A15">
        <w:rPr>
          <w:rFonts w:ascii="Times New Roman" w:hAnsi="Times New Roman" w:cs="Times New Roman"/>
          <w:sz w:val="24"/>
          <w:szCs w:val="24"/>
        </w:rPr>
        <w:t xml:space="preserve">. She is the </w:t>
      </w:r>
      <w:r w:rsidR="004A4E3B" w:rsidRPr="00BA2A15">
        <w:rPr>
          <w:rFonts w:ascii="Times New Roman" w:hAnsi="Times New Roman" w:cs="Times New Roman"/>
          <w:sz w:val="24"/>
          <w:szCs w:val="24"/>
        </w:rPr>
        <w:t>sole</w:t>
      </w:r>
      <w:r w:rsidR="00B62DA7" w:rsidRPr="00BA2A15">
        <w:rPr>
          <w:rFonts w:ascii="Times New Roman" w:hAnsi="Times New Roman" w:cs="Times New Roman"/>
          <w:sz w:val="24"/>
          <w:szCs w:val="24"/>
        </w:rPr>
        <w:t xml:space="preserve"> </w:t>
      </w:r>
      <w:r w:rsidR="004A4E3B" w:rsidRPr="00BA2A15">
        <w:rPr>
          <w:rFonts w:ascii="Times New Roman" w:hAnsi="Times New Roman" w:cs="Times New Roman"/>
          <w:sz w:val="24"/>
          <w:szCs w:val="24"/>
        </w:rPr>
        <w:t>care partner</w:t>
      </w:r>
      <w:r w:rsidR="00B62DA7" w:rsidRPr="00BA2A15">
        <w:rPr>
          <w:rFonts w:ascii="Times New Roman" w:hAnsi="Times New Roman" w:cs="Times New Roman"/>
          <w:sz w:val="24"/>
          <w:szCs w:val="24"/>
        </w:rPr>
        <w:t xml:space="preserve"> for her elderly father who has Alzheimer’s disease and necessitates total supervision.</w:t>
      </w:r>
      <w:r w:rsidR="004A4E3B" w:rsidRPr="00BA2A15">
        <w:rPr>
          <w:rFonts w:ascii="Times New Roman" w:hAnsi="Times New Roman" w:cs="Times New Roman"/>
          <w:sz w:val="24"/>
          <w:szCs w:val="24"/>
        </w:rPr>
        <w:t xml:space="preserve"> More so, she is a single mother and has a son as well as a daughter who are 14 and 10 years old, respectively.</w:t>
      </w:r>
      <w:r w:rsidR="00B62DA7" w:rsidRPr="00BA2A15">
        <w:rPr>
          <w:rFonts w:ascii="Times New Roman" w:hAnsi="Times New Roman" w:cs="Times New Roman"/>
          <w:sz w:val="24"/>
          <w:szCs w:val="24"/>
        </w:rPr>
        <w:t xml:space="preserve"> </w:t>
      </w:r>
      <w:r w:rsidR="004A4E3B" w:rsidRPr="00BA2A15">
        <w:rPr>
          <w:rFonts w:ascii="Times New Roman" w:hAnsi="Times New Roman" w:cs="Times New Roman"/>
          <w:sz w:val="24"/>
          <w:szCs w:val="24"/>
        </w:rPr>
        <w:t>D.N. is eloquent in Spanish, but inarticulate in English.</w:t>
      </w:r>
      <w:r w:rsidRPr="00BA2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E04" w:rsidRDefault="0051189A" w:rsidP="00BA2A1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2A15">
        <w:rPr>
          <w:rFonts w:ascii="Times New Roman" w:hAnsi="Times New Roman" w:cs="Times New Roman"/>
          <w:sz w:val="24"/>
          <w:szCs w:val="24"/>
        </w:rPr>
        <w:t xml:space="preserve">Nichols et al. (2021) espoused that </w:t>
      </w:r>
      <w:r w:rsidR="004E3C3F" w:rsidRPr="00BA2A15">
        <w:rPr>
          <w:rFonts w:ascii="Times New Roman" w:hAnsi="Times New Roman" w:cs="Times New Roman"/>
          <w:sz w:val="24"/>
          <w:szCs w:val="24"/>
        </w:rPr>
        <w:t xml:space="preserve">provider-patient rapport, especially communication varies with age. D.N.’s age may influence </w:t>
      </w:r>
      <w:r w:rsidR="00B80DAA" w:rsidRPr="00BA2A15">
        <w:rPr>
          <w:rFonts w:ascii="Times New Roman" w:hAnsi="Times New Roman" w:cs="Times New Roman"/>
          <w:sz w:val="24"/>
          <w:szCs w:val="24"/>
        </w:rPr>
        <w:t>the provider-patient liaison</w:t>
      </w:r>
      <w:r w:rsidR="004E3C3F" w:rsidRPr="00BA2A15">
        <w:rPr>
          <w:rFonts w:ascii="Times New Roman" w:hAnsi="Times New Roman" w:cs="Times New Roman"/>
          <w:sz w:val="24"/>
          <w:szCs w:val="24"/>
        </w:rPr>
        <w:t xml:space="preserve"> </w:t>
      </w:r>
      <w:r w:rsidR="00B80DAA" w:rsidRPr="00BA2A15">
        <w:rPr>
          <w:rFonts w:ascii="Times New Roman" w:hAnsi="Times New Roman" w:cs="Times New Roman"/>
          <w:sz w:val="24"/>
          <w:szCs w:val="24"/>
        </w:rPr>
        <w:t xml:space="preserve">since </w:t>
      </w:r>
      <w:r w:rsidR="004E3C3F" w:rsidRPr="00BA2A15">
        <w:rPr>
          <w:rFonts w:ascii="Times New Roman" w:hAnsi="Times New Roman" w:cs="Times New Roman"/>
          <w:sz w:val="24"/>
          <w:szCs w:val="24"/>
        </w:rPr>
        <w:t>she is at an age at which she may prefer to be given autonomy and be actively involved in the decision-making processes pertaining to her health</w:t>
      </w:r>
      <w:r w:rsidR="00917882" w:rsidRPr="00BA2A15">
        <w:rPr>
          <w:rFonts w:ascii="Times New Roman" w:hAnsi="Times New Roman" w:cs="Times New Roman"/>
          <w:sz w:val="24"/>
          <w:szCs w:val="24"/>
        </w:rPr>
        <w:t xml:space="preserve"> with the advice of the clinician</w:t>
      </w:r>
      <w:r w:rsidR="004E3C3F" w:rsidRPr="00BA2A15">
        <w:rPr>
          <w:rFonts w:ascii="Times New Roman" w:hAnsi="Times New Roman" w:cs="Times New Roman"/>
          <w:sz w:val="24"/>
          <w:szCs w:val="24"/>
        </w:rPr>
        <w:t>.</w:t>
      </w:r>
      <w:r w:rsidR="00B80DAA" w:rsidRPr="00BA2A15">
        <w:rPr>
          <w:rFonts w:ascii="Times New Roman" w:hAnsi="Times New Roman" w:cs="Times New Roman"/>
          <w:sz w:val="24"/>
          <w:szCs w:val="24"/>
        </w:rPr>
        <w:t xml:space="preserve"> Furthermore, her age may impact </w:t>
      </w:r>
      <w:r w:rsidR="00917882" w:rsidRPr="00BA2A15">
        <w:rPr>
          <w:rFonts w:ascii="Times New Roman" w:hAnsi="Times New Roman" w:cs="Times New Roman"/>
          <w:sz w:val="24"/>
          <w:szCs w:val="24"/>
        </w:rPr>
        <w:t xml:space="preserve">the health assessment whereby </w:t>
      </w:r>
      <w:r w:rsidR="00B80DAA" w:rsidRPr="00BA2A15">
        <w:rPr>
          <w:rFonts w:ascii="Times New Roman" w:hAnsi="Times New Roman" w:cs="Times New Roman"/>
          <w:sz w:val="24"/>
          <w:szCs w:val="24"/>
        </w:rPr>
        <w:t>her risk for various illnesses namely heart disease and cancer</w:t>
      </w:r>
      <w:r w:rsidR="00917882" w:rsidRPr="00BA2A15">
        <w:rPr>
          <w:rFonts w:ascii="Times New Roman" w:hAnsi="Times New Roman" w:cs="Times New Roman"/>
          <w:sz w:val="24"/>
          <w:szCs w:val="24"/>
        </w:rPr>
        <w:t xml:space="preserve"> may proliferate</w:t>
      </w:r>
      <w:r w:rsidR="00B80DAA" w:rsidRPr="00BA2A15">
        <w:rPr>
          <w:rFonts w:ascii="Times New Roman" w:hAnsi="Times New Roman" w:cs="Times New Roman"/>
          <w:sz w:val="24"/>
          <w:szCs w:val="24"/>
        </w:rPr>
        <w:t xml:space="preserve">. In addition, her female anatomy may affect her care because she may </w:t>
      </w:r>
      <w:r w:rsidR="00917882" w:rsidRPr="00BA2A15">
        <w:rPr>
          <w:rFonts w:ascii="Times New Roman" w:hAnsi="Times New Roman" w:cs="Times New Roman"/>
          <w:sz w:val="24"/>
          <w:szCs w:val="24"/>
        </w:rPr>
        <w:t>grapple with</w:t>
      </w:r>
      <w:r w:rsidR="00B80DAA" w:rsidRPr="00BA2A15">
        <w:rPr>
          <w:rFonts w:ascii="Times New Roman" w:hAnsi="Times New Roman" w:cs="Times New Roman"/>
          <w:sz w:val="24"/>
          <w:szCs w:val="24"/>
        </w:rPr>
        <w:t xml:space="preserve"> alterations in menopausal symptoms like vaginal dryness and hot flashes</w:t>
      </w:r>
      <w:r w:rsidR="00670B05" w:rsidRPr="00BA2A15">
        <w:rPr>
          <w:rFonts w:ascii="Times New Roman" w:hAnsi="Times New Roman" w:cs="Times New Roman"/>
          <w:sz w:val="24"/>
          <w:szCs w:val="24"/>
        </w:rPr>
        <w:t>. Particularly, mental health is another aspect that may impact the provider-patient connection</w:t>
      </w:r>
      <w:r w:rsidR="00917882" w:rsidRPr="00BA2A15">
        <w:rPr>
          <w:rFonts w:ascii="Times New Roman" w:hAnsi="Times New Roman" w:cs="Times New Roman"/>
          <w:sz w:val="24"/>
          <w:szCs w:val="24"/>
        </w:rPr>
        <w:t xml:space="preserve"> (Molina-</w:t>
      </w:r>
      <w:proofErr w:type="spellStart"/>
      <w:r w:rsidR="00917882" w:rsidRPr="00BA2A15">
        <w:rPr>
          <w:rFonts w:ascii="Times New Roman" w:hAnsi="Times New Roman" w:cs="Times New Roman"/>
          <w:sz w:val="24"/>
          <w:szCs w:val="24"/>
        </w:rPr>
        <w:t>Mula</w:t>
      </w:r>
      <w:proofErr w:type="spellEnd"/>
      <w:r w:rsidR="00917882" w:rsidRPr="00BA2A15">
        <w:rPr>
          <w:rFonts w:ascii="Times New Roman" w:hAnsi="Times New Roman" w:cs="Times New Roman"/>
          <w:sz w:val="24"/>
          <w:szCs w:val="24"/>
        </w:rPr>
        <w:t xml:space="preserve"> &amp; Gallo-Estrada, 2020)</w:t>
      </w:r>
      <w:r w:rsidR="00670B05" w:rsidRPr="00BA2A15">
        <w:rPr>
          <w:rFonts w:ascii="Times New Roman" w:hAnsi="Times New Roman" w:cs="Times New Roman"/>
          <w:sz w:val="24"/>
          <w:szCs w:val="24"/>
        </w:rPr>
        <w:t xml:space="preserve">. In this context, </w:t>
      </w:r>
      <w:r w:rsidR="00917882" w:rsidRPr="00BA2A15">
        <w:rPr>
          <w:rFonts w:ascii="Times New Roman" w:hAnsi="Times New Roman" w:cs="Times New Roman"/>
          <w:sz w:val="24"/>
          <w:szCs w:val="24"/>
        </w:rPr>
        <w:t xml:space="preserve">D.N.’s past medical history of generalized anxiety disorder and adherence to Paxil medication may lead to positive provider-patient interaction. This is because the clinician may </w:t>
      </w:r>
      <w:r w:rsidR="00F91C9C" w:rsidRPr="00BA2A15">
        <w:rPr>
          <w:rFonts w:ascii="Times New Roman" w:hAnsi="Times New Roman" w:cs="Times New Roman"/>
          <w:sz w:val="24"/>
          <w:szCs w:val="24"/>
        </w:rPr>
        <w:t xml:space="preserve">endeavor to do supportive therapy which encompasses rudimentary emotional support and problem-solving. </w:t>
      </w:r>
    </w:p>
    <w:p w:rsidR="00132602" w:rsidRPr="00BA2A15" w:rsidRDefault="00F91C9C" w:rsidP="00BA2A1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2A15">
        <w:rPr>
          <w:rFonts w:ascii="Times New Roman" w:hAnsi="Times New Roman" w:cs="Times New Roman"/>
          <w:sz w:val="24"/>
          <w:szCs w:val="24"/>
        </w:rPr>
        <w:t xml:space="preserve">For instance, in lieu of </w:t>
      </w:r>
      <w:r w:rsidR="006D2E04">
        <w:rPr>
          <w:rFonts w:ascii="Times New Roman" w:hAnsi="Times New Roman" w:cs="Times New Roman"/>
          <w:sz w:val="24"/>
          <w:szCs w:val="24"/>
        </w:rPr>
        <w:t>modifying</w:t>
      </w:r>
      <w:r w:rsidRPr="00BA2A15">
        <w:rPr>
          <w:rFonts w:ascii="Times New Roman" w:hAnsi="Times New Roman" w:cs="Times New Roman"/>
          <w:sz w:val="24"/>
          <w:szCs w:val="24"/>
        </w:rPr>
        <w:t xml:space="preserve"> the D.N.’s medication due to adverse reactions or relapse, the healthcare provid</w:t>
      </w:r>
      <w:r w:rsidR="00F3592A" w:rsidRPr="00BA2A15">
        <w:rPr>
          <w:rFonts w:ascii="Times New Roman" w:hAnsi="Times New Roman" w:cs="Times New Roman"/>
          <w:sz w:val="24"/>
          <w:szCs w:val="24"/>
        </w:rPr>
        <w:t xml:space="preserve">er can enquire about new changes in her life and embolden her accordingly. </w:t>
      </w:r>
      <w:r w:rsidR="006D2E04" w:rsidRPr="00BA2A15">
        <w:rPr>
          <w:rFonts w:ascii="Times New Roman" w:hAnsi="Times New Roman" w:cs="Times New Roman"/>
          <w:sz w:val="24"/>
          <w:szCs w:val="24"/>
        </w:rPr>
        <w:t>Likewise</w:t>
      </w:r>
      <w:r w:rsidR="00F3592A" w:rsidRPr="00BA2A15">
        <w:rPr>
          <w:rFonts w:ascii="Times New Roman" w:hAnsi="Times New Roman" w:cs="Times New Roman"/>
          <w:sz w:val="24"/>
          <w:szCs w:val="24"/>
        </w:rPr>
        <w:t xml:space="preserve">, her </w:t>
      </w:r>
      <w:r w:rsidR="00F8185A" w:rsidRPr="00BA2A15">
        <w:rPr>
          <w:rFonts w:ascii="Times New Roman" w:hAnsi="Times New Roman" w:cs="Times New Roman"/>
          <w:sz w:val="24"/>
          <w:szCs w:val="24"/>
        </w:rPr>
        <w:t xml:space="preserve">general anxiety disorder may also impact the health assessment </w:t>
      </w:r>
      <w:r w:rsidR="00F8185A" w:rsidRPr="00BA2A15">
        <w:rPr>
          <w:rFonts w:ascii="Times New Roman" w:hAnsi="Times New Roman" w:cs="Times New Roman"/>
          <w:sz w:val="24"/>
          <w:szCs w:val="24"/>
        </w:rPr>
        <w:lastRenderedPageBreak/>
        <w:t>subjectively</w:t>
      </w:r>
      <w:r w:rsidR="006D2E04">
        <w:rPr>
          <w:rFonts w:ascii="Times New Roman" w:hAnsi="Times New Roman" w:cs="Times New Roman"/>
          <w:sz w:val="24"/>
          <w:szCs w:val="24"/>
        </w:rPr>
        <w:t xml:space="preserve"> since she may </w:t>
      </w:r>
      <w:r w:rsidR="00F8185A" w:rsidRPr="00BA2A15">
        <w:rPr>
          <w:rFonts w:ascii="Times New Roman" w:hAnsi="Times New Roman" w:cs="Times New Roman"/>
          <w:sz w:val="24"/>
          <w:szCs w:val="24"/>
        </w:rPr>
        <w:t xml:space="preserve">report symptoms akin to her mental condition. </w:t>
      </w:r>
      <w:proofErr w:type="spellStart"/>
      <w:r w:rsidR="00F8185A" w:rsidRPr="00BA2A15">
        <w:rPr>
          <w:rFonts w:ascii="Times New Roman" w:hAnsi="Times New Roman" w:cs="Times New Roman"/>
          <w:sz w:val="24"/>
          <w:szCs w:val="24"/>
        </w:rPr>
        <w:t>Kamimura</w:t>
      </w:r>
      <w:proofErr w:type="spellEnd"/>
      <w:r w:rsidR="00F8185A" w:rsidRPr="00BA2A15">
        <w:rPr>
          <w:rFonts w:ascii="Times New Roman" w:hAnsi="Times New Roman" w:cs="Times New Roman"/>
          <w:sz w:val="24"/>
          <w:szCs w:val="24"/>
        </w:rPr>
        <w:t xml:space="preserve"> et al. (2020) elucidated that higher patient literacy levels are congruent with an impeccable provider-patient</w:t>
      </w:r>
      <w:r w:rsidR="00D50334" w:rsidRPr="00BA2A15">
        <w:rPr>
          <w:rFonts w:ascii="Times New Roman" w:hAnsi="Times New Roman" w:cs="Times New Roman"/>
          <w:sz w:val="24"/>
          <w:szCs w:val="24"/>
        </w:rPr>
        <w:t xml:space="preserve"> relationship and vice versa.</w:t>
      </w:r>
      <w:r w:rsidR="00132602" w:rsidRPr="00BA2A15">
        <w:rPr>
          <w:rFonts w:ascii="Times New Roman" w:hAnsi="Times New Roman" w:cs="Times New Roman"/>
          <w:sz w:val="24"/>
          <w:szCs w:val="24"/>
        </w:rPr>
        <w:t xml:space="preserve"> As such, D.N.’s paucity of fluency in English </w:t>
      </w:r>
      <w:r w:rsidR="00AB2B20" w:rsidRPr="00BA2A15">
        <w:rPr>
          <w:rFonts w:ascii="Times New Roman" w:hAnsi="Times New Roman" w:cs="Times New Roman"/>
          <w:sz w:val="24"/>
          <w:szCs w:val="24"/>
        </w:rPr>
        <w:t>may be</w:t>
      </w:r>
      <w:r w:rsidR="00132602" w:rsidRPr="00BA2A15">
        <w:rPr>
          <w:rFonts w:ascii="Times New Roman" w:hAnsi="Times New Roman" w:cs="Times New Roman"/>
          <w:sz w:val="24"/>
          <w:szCs w:val="24"/>
        </w:rPr>
        <w:t xml:space="preserve"> a barrier to the provider-patient rapport and health assessment. Therefore, the clinician, may need to avoid medical jargon and opt for a translator or offer the client additional time to ask </w:t>
      </w:r>
      <w:r w:rsidR="00AB2B20" w:rsidRPr="00BA2A15">
        <w:rPr>
          <w:rFonts w:ascii="Times New Roman" w:hAnsi="Times New Roman" w:cs="Times New Roman"/>
          <w:sz w:val="24"/>
          <w:szCs w:val="24"/>
        </w:rPr>
        <w:t xml:space="preserve">questions </w:t>
      </w:r>
      <w:r w:rsidR="006D2E04">
        <w:rPr>
          <w:rFonts w:ascii="Times New Roman" w:hAnsi="Times New Roman" w:cs="Times New Roman"/>
          <w:sz w:val="24"/>
          <w:szCs w:val="24"/>
        </w:rPr>
        <w:t>to</w:t>
      </w:r>
      <w:r w:rsidR="00AB2B20" w:rsidRPr="00BA2A15">
        <w:rPr>
          <w:rFonts w:ascii="Times New Roman" w:hAnsi="Times New Roman" w:cs="Times New Roman"/>
          <w:sz w:val="24"/>
          <w:szCs w:val="24"/>
        </w:rPr>
        <w:t xml:space="preserve"> comprehend prescriptions</w:t>
      </w:r>
      <w:r w:rsidR="006D2E04">
        <w:rPr>
          <w:rFonts w:ascii="Times New Roman" w:hAnsi="Times New Roman" w:cs="Times New Roman"/>
          <w:sz w:val="24"/>
          <w:szCs w:val="24"/>
        </w:rPr>
        <w:t xml:space="preserve"> and instructions</w:t>
      </w:r>
      <w:r w:rsidR="00AB2B20" w:rsidRPr="00BA2A15">
        <w:rPr>
          <w:rFonts w:ascii="Times New Roman" w:hAnsi="Times New Roman" w:cs="Times New Roman"/>
          <w:sz w:val="24"/>
          <w:szCs w:val="24"/>
        </w:rPr>
        <w:t>. D.N.’s main language is Spanish which may put a strain on the provider-patient relationship, especially when the clinician is not of Latino descent. It is imperative for a practitioner to be cognizant of their patient’s cultural beliefs that can have an effect on their care</w:t>
      </w:r>
      <w:r w:rsidR="00BA2A15" w:rsidRPr="00BA2A1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A2A15" w:rsidRPr="00BA2A15">
        <w:rPr>
          <w:rFonts w:ascii="Times New Roman" w:hAnsi="Times New Roman" w:cs="Times New Roman"/>
          <w:sz w:val="24"/>
          <w:szCs w:val="24"/>
        </w:rPr>
        <w:t>Kamimura</w:t>
      </w:r>
      <w:proofErr w:type="spellEnd"/>
      <w:r w:rsidR="00BA2A15" w:rsidRPr="00BA2A15">
        <w:rPr>
          <w:rFonts w:ascii="Times New Roman" w:hAnsi="Times New Roman" w:cs="Times New Roman"/>
          <w:sz w:val="24"/>
          <w:szCs w:val="24"/>
        </w:rPr>
        <w:t xml:space="preserve"> et al., 2020)</w:t>
      </w:r>
      <w:r w:rsidR="00AB2B20" w:rsidRPr="00BA2A15">
        <w:rPr>
          <w:rFonts w:ascii="Times New Roman" w:hAnsi="Times New Roman" w:cs="Times New Roman"/>
          <w:sz w:val="24"/>
          <w:szCs w:val="24"/>
        </w:rPr>
        <w:t>. In the case of D.N., the care provider ought to be culturally comp</w:t>
      </w:r>
      <w:r w:rsidR="00BA2A15" w:rsidRPr="00BA2A15">
        <w:rPr>
          <w:rFonts w:ascii="Times New Roman" w:hAnsi="Times New Roman" w:cs="Times New Roman"/>
          <w:sz w:val="24"/>
          <w:szCs w:val="24"/>
        </w:rPr>
        <w:t>etent and sensitive about her cultural preferences such as traditional medications coupled with spiritual practices.</w:t>
      </w:r>
    </w:p>
    <w:p w:rsidR="00BA2A15" w:rsidRPr="00BA2A15" w:rsidRDefault="00BA2A15" w:rsidP="00BA2A1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A2A15" w:rsidRPr="00BA2A15" w:rsidRDefault="00BA2A15" w:rsidP="00BA2A1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A2A15" w:rsidRPr="00BA2A15" w:rsidRDefault="00BA2A15" w:rsidP="00BA2A1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D2E04" w:rsidRDefault="006D2E04" w:rsidP="00BA2A1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D2E04" w:rsidRDefault="006D2E04" w:rsidP="00BA2A1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D2E04" w:rsidRDefault="006D2E04" w:rsidP="00BA2A1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D2E04" w:rsidRDefault="006D2E04" w:rsidP="00BA2A1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D2E04" w:rsidRDefault="006D2E04" w:rsidP="00BA2A1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D2E04" w:rsidRDefault="006D2E04" w:rsidP="00BA2A1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D2E04" w:rsidRDefault="006D2E04" w:rsidP="00BA2A1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D2E04" w:rsidRDefault="006D2E04" w:rsidP="00BA2A1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D2E04" w:rsidRDefault="006D2E04" w:rsidP="00BA2A1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17882" w:rsidRPr="00BA2A15" w:rsidRDefault="00917882" w:rsidP="006D2E04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A15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D50334" w:rsidRPr="00BA2A15" w:rsidRDefault="00D50334" w:rsidP="006D2E0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A2A15">
        <w:rPr>
          <w:rFonts w:ascii="Times New Roman" w:hAnsi="Times New Roman" w:cs="Times New Roman"/>
          <w:sz w:val="24"/>
          <w:szCs w:val="24"/>
        </w:rPr>
        <w:t>Kamimura</w:t>
      </w:r>
      <w:proofErr w:type="spellEnd"/>
      <w:r w:rsidRPr="00BA2A15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BA2A15">
        <w:rPr>
          <w:rFonts w:ascii="Times New Roman" w:hAnsi="Times New Roman" w:cs="Times New Roman"/>
          <w:sz w:val="24"/>
          <w:szCs w:val="24"/>
        </w:rPr>
        <w:t>Higham</w:t>
      </w:r>
      <w:proofErr w:type="spellEnd"/>
      <w:r w:rsidRPr="00BA2A15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BA2A15">
        <w:rPr>
          <w:rFonts w:ascii="Times New Roman" w:hAnsi="Times New Roman" w:cs="Times New Roman"/>
          <w:sz w:val="24"/>
          <w:szCs w:val="24"/>
        </w:rPr>
        <w:t>Rathi</w:t>
      </w:r>
      <w:proofErr w:type="spellEnd"/>
      <w:r w:rsidRPr="00BA2A15">
        <w:rPr>
          <w:rFonts w:ascii="Times New Roman" w:hAnsi="Times New Roman" w:cs="Times New Roman"/>
          <w:sz w:val="24"/>
          <w:szCs w:val="24"/>
        </w:rPr>
        <w:t xml:space="preserve">, N., </w:t>
      </w:r>
      <w:proofErr w:type="spellStart"/>
      <w:r w:rsidRPr="00BA2A15">
        <w:rPr>
          <w:rFonts w:ascii="Times New Roman" w:hAnsi="Times New Roman" w:cs="Times New Roman"/>
          <w:sz w:val="24"/>
          <w:szCs w:val="24"/>
        </w:rPr>
        <w:t>Panahi</w:t>
      </w:r>
      <w:proofErr w:type="spellEnd"/>
      <w:r w:rsidRPr="00BA2A15">
        <w:rPr>
          <w:rFonts w:ascii="Times New Roman" w:hAnsi="Times New Roman" w:cs="Times New Roman"/>
          <w:sz w:val="24"/>
          <w:szCs w:val="24"/>
        </w:rPr>
        <w:t>, S., Lee, E., &amp; Ashby, J. (2020). Patient-provider relationships among vulnerable patients: the association with health literacy, continuity of care, and self-rated health. </w:t>
      </w:r>
      <w:r w:rsidRPr="00BA2A15">
        <w:rPr>
          <w:rFonts w:ascii="Times New Roman" w:hAnsi="Times New Roman" w:cs="Times New Roman"/>
          <w:i/>
          <w:iCs/>
          <w:sz w:val="24"/>
          <w:szCs w:val="24"/>
        </w:rPr>
        <w:t>Journal of Patient Experience</w:t>
      </w:r>
      <w:r w:rsidRPr="00BA2A15">
        <w:rPr>
          <w:rFonts w:ascii="Times New Roman" w:hAnsi="Times New Roman" w:cs="Times New Roman"/>
          <w:sz w:val="24"/>
          <w:szCs w:val="24"/>
        </w:rPr>
        <w:t>, </w:t>
      </w:r>
      <w:r w:rsidRPr="00BA2A15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BA2A15">
        <w:rPr>
          <w:rFonts w:ascii="Times New Roman" w:hAnsi="Times New Roman" w:cs="Times New Roman"/>
          <w:sz w:val="24"/>
          <w:szCs w:val="24"/>
        </w:rPr>
        <w:t xml:space="preserve">(6), 1450–1457. </w:t>
      </w:r>
      <w:hyperlink r:id="rId4" w:history="1">
        <w:r w:rsidRPr="00BA2A1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https://doi.org/10.1177/2374373519895680</w:t>
        </w:r>
      </w:hyperlink>
    </w:p>
    <w:p w:rsidR="00917882" w:rsidRDefault="00917882" w:rsidP="006D2E0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A2A15">
        <w:rPr>
          <w:rFonts w:ascii="Times New Roman" w:hAnsi="Times New Roman" w:cs="Times New Roman"/>
          <w:sz w:val="24"/>
          <w:szCs w:val="24"/>
        </w:rPr>
        <w:t>Molina-</w:t>
      </w:r>
      <w:proofErr w:type="spellStart"/>
      <w:r w:rsidRPr="00BA2A15">
        <w:rPr>
          <w:rFonts w:ascii="Times New Roman" w:hAnsi="Times New Roman" w:cs="Times New Roman"/>
          <w:sz w:val="24"/>
          <w:szCs w:val="24"/>
        </w:rPr>
        <w:t>Mula</w:t>
      </w:r>
      <w:proofErr w:type="spellEnd"/>
      <w:r w:rsidRPr="00BA2A15">
        <w:rPr>
          <w:rFonts w:ascii="Times New Roman" w:hAnsi="Times New Roman" w:cs="Times New Roman"/>
          <w:sz w:val="24"/>
          <w:szCs w:val="24"/>
        </w:rPr>
        <w:t>, J., &amp; Gallo-Estrada, J. (2020). Impact of nurse-patient relationship on quality of care and patient autonomy in decision-making. </w:t>
      </w:r>
      <w:r w:rsidRPr="00BA2A15">
        <w:rPr>
          <w:rFonts w:ascii="Times New Roman" w:hAnsi="Times New Roman" w:cs="Times New Roman"/>
          <w:i/>
          <w:iCs/>
          <w:sz w:val="24"/>
          <w:szCs w:val="24"/>
        </w:rPr>
        <w:t>International Journal of Environmental Research and Public Health</w:t>
      </w:r>
      <w:r w:rsidRPr="00BA2A15">
        <w:rPr>
          <w:rFonts w:ascii="Times New Roman" w:hAnsi="Times New Roman" w:cs="Times New Roman"/>
          <w:sz w:val="24"/>
          <w:szCs w:val="24"/>
        </w:rPr>
        <w:t>, </w:t>
      </w:r>
      <w:r w:rsidRPr="00BA2A15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BA2A15">
        <w:rPr>
          <w:rFonts w:ascii="Times New Roman" w:hAnsi="Times New Roman" w:cs="Times New Roman"/>
          <w:sz w:val="24"/>
          <w:szCs w:val="24"/>
        </w:rPr>
        <w:t xml:space="preserve">(3), 835. </w:t>
      </w:r>
      <w:hyperlink r:id="rId5" w:history="1">
        <w:r w:rsidRPr="00BA2A1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https://doi.org/10.3390/ijerph17030835</w:t>
        </w:r>
      </w:hyperlink>
    </w:p>
    <w:p w:rsidR="008F093F" w:rsidRDefault="008F093F" w:rsidP="008F093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093F">
        <w:rPr>
          <w:rFonts w:ascii="Times New Roman" w:hAnsi="Times New Roman" w:cs="Times New Roman"/>
          <w:sz w:val="24"/>
          <w:szCs w:val="24"/>
        </w:rPr>
        <w:t xml:space="preserve">Nichols, H. M., </w:t>
      </w:r>
      <w:proofErr w:type="spellStart"/>
      <w:r w:rsidRPr="008F093F">
        <w:rPr>
          <w:rFonts w:ascii="Times New Roman" w:hAnsi="Times New Roman" w:cs="Times New Roman"/>
          <w:sz w:val="24"/>
          <w:szCs w:val="24"/>
        </w:rPr>
        <w:t>Dababnah</w:t>
      </w:r>
      <w:proofErr w:type="spellEnd"/>
      <w:r w:rsidRPr="008F093F">
        <w:rPr>
          <w:rFonts w:ascii="Times New Roman" w:hAnsi="Times New Roman" w:cs="Times New Roman"/>
          <w:sz w:val="24"/>
          <w:szCs w:val="24"/>
        </w:rPr>
        <w:t xml:space="preserve">, S., Berger, Z., Long, C., &amp; Sacco, P. (2021). </w:t>
      </w:r>
      <w:bookmarkStart w:id="0" w:name="_GoBack"/>
      <w:r w:rsidRPr="008F093F">
        <w:rPr>
          <w:rFonts w:ascii="Times New Roman" w:hAnsi="Times New Roman" w:cs="Times New Roman"/>
          <w:sz w:val="24"/>
          <w:szCs w:val="24"/>
        </w:rPr>
        <w:t>Can you hear me now? Effects of patient-centered communication with young adults aged 26 to 39. </w:t>
      </w:r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>Journal of Patient E</w:t>
      </w:r>
      <w:r w:rsidRPr="008F093F">
        <w:rPr>
          <w:rFonts w:ascii="Times New Roman" w:hAnsi="Times New Roman" w:cs="Times New Roman"/>
          <w:i/>
          <w:iCs/>
          <w:sz w:val="24"/>
          <w:szCs w:val="24"/>
        </w:rPr>
        <w:t>xperience</w:t>
      </w:r>
      <w:r w:rsidRPr="008F093F">
        <w:rPr>
          <w:rFonts w:ascii="Times New Roman" w:hAnsi="Times New Roman" w:cs="Times New Roman"/>
          <w:sz w:val="24"/>
          <w:szCs w:val="24"/>
        </w:rPr>
        <w:t>, </w:t>
      </w:r>
      <w:r w:rsidRPr="008F093F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8F093F">
        <w:rPr>
          <w:rFonts w:ascii="Times New Roman" w:hAnsi="Times New Roman" w:cs="Times New Roman"/>
          <w:sz w:val="24"/>
          <w:szCs w:val="24"/>
        </w:rPr>
        <w:t xml:space="preserve">, 23743735211033116. </w:t>
      </w:r>
      <w:hyperlink r:id="rId6" w:history="1">
        <w:r w:rsidRPr="00697E8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https://doi.org/10.1177/23743735211033116</w:t>
        </w:r>
      </w:hyperlink>
    </w:p>
    <w:p w:rsidR="008F093F" w:rsidRPr="008F093F" w:rsidRDefault="008F093F" w:rsidP="008F093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F093F" w:rsidRPr="00BA2A15" w:rsidRDefault="008F093F" w:rsidP="006D2E0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17882" w:rsidRPr="00BA2A15" w:rsidRDefault="00917882" w:rsidP="006D2E0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17882" w:rsidRPr="00BA2A15" w:rsidRDefault="00917882" w:rsidP="006D2E0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917882" w:rsidRPr="00BA2A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9C"/>
    <w:rsid w:val="00132602"/>
    <w:rsid w:val="00364D9C"/>
    <w:rsid w:val="004A4E3B"/>
    <w:rsid w:val="004E3C3F"/>
    <w:rsid w:val="0051189A"/>
    <w:rsid w:val="00670B05"/>
    <w:rsid w:val="006D2E04"/>
    <w:rsid w:val="00822FB8"/>
    <w:rsid w:val="008F093F"/>
    <w:rsid w:val="00917882"/>
    <w:rsid w:val="00AB2B20"/>
    <w:rsid w:val="00B27F76"/>
    <w:rsid w:val="00B62DA7"/>
    <w:rsid w:val="00B80DAA"/>
    <w:rsid w:val="00BA2A15"/>
    <w:rsid w:val="00CE00CC"/>
    <w:rsid w:val="00D50334"/>
    <w:rsid w:val="00F3592A"/>
    <w:rsid w:val="00F8185A"/>
    <w:rsid w:val="00F91C9C"/>
    <w:rsid w:val="00FA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18D15"/>
  <w15:chartTrackingRefBased/>
  <w15:docId w15:val="{C0130B1B-1AC7-4FC2-831C-9750B90E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78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3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27845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9691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70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21094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820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77/23743735211033116" TargetMode="External"/><Relationship Id="rId5" Type="http://schemas.openxmlformats.org/officeDocument/2006/relationships/hyperlink" Target="https://doi.org/10.3390/ijerph17030835" TargetMode="External"/><Relationship Id="rId4" Type="http://schemas.openxmlformats.org/officeDocument/2006/relationships/hyperlink" Target="https://doi.org/10.1177/2374373519895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2023-01-04T09:22:00Z</dcterms:created>
  <dcterms:modified xsi:type="dcterms:W3CDTF">2023-01-04T20:52:00Z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79807aa0-0298-4045-8ff5-599751fcae7e</vt:lpwstr>
  </property>
</Properties>
</file>