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A6C" w:rsidRPr="0024516D" w:rsidRDefault="00DA02D9" w:rsidP="0024516D">
      <w:pPr>
        <w:spacing w:after="0" w:line="480" w:lineRule="auto"/>
        <w:jc w:val="center"/>
        <w:rPr>
          <w:rFonts w:ascii="Times New Roman" w:hAnsi="Times New Roman" w:cs="Times New Roman"/>
          <w:b/>
          <w:sz w:val="24"/>
          <w:szCs w:val="24"/>
        </w:rPr>
      </w:pPr>
      <w:r w:rsidRPr="0024516D">
        <w:rPr>
          <w:rFonts w:ascii="Times New Roman" w:hAnsi="Times New Roman" w:cs="Times New Roman"/>
          <w:b/>
          <w:sz w:val="24"/>
          <w:szCs w:val="24"/>
        </w:rPr>
        <w:t>NU 606 Response to Maria Reed</w:t>
      </w:r>
    </w:p>
    <w:p w:rsidR="0024516D" w:rsidRDefault="00DA02D9" w:rsidP="0024516D">
      <w:pPr>
        <w:spacing w:after="0" w:line="480" w:lineRule="auto"/>
        <w:ind w:firstLine="720"/>
        <w:rPr>
          <w:rFonts w:ascii="Times New Roman" w:hAnsi="Times New Roman" w:cs="Times New Roman"/>
          <w:sz w:val="24"/>
          <w:szCs w:val="24"/>
        </w:rPr>
      </w:pPr>
      <w:r w:rsidRPr="0024516D">
        <w:rPr>
          <w:rFonts w:ascii="Times New Roman" w:hAnsi="Times New Roman" w:cs="Times New Roman"/>
          <w:sz w:val="24"/>
          <w:szCs w:val="24"/>
        </w:rPr>
        <w:t>Hello Maria, thank you for sharing an enlightening presentation on this week’s flashcard assignment. Here is a case presentation of systemic lupus erythematosus.</w:t>
      </w:r>
      <w:r w:rsidR="008A32F0" w:rsidRPr="0024516D">
        <w:rPr>
          <w:rFonts w:ascii="Times New Roman" w:hAnsi="Times New Roman" w:cs="Times New Roman"/>
          <w:sz w:val="24"/>
          <w:szCs w:val="24"/>
        </w:rPr>
        <w:t xml:space="preserve"> D.N. is a 33-year-old African American who presented to the clinic with primary complaints of generalized edema, dyspnea on exertion, and austere fatigue that has persisted for three months. The patient reported that she has had a substantial weight loss of 25 lbs.</w:t>
      </w:r>
      <w:r w:rsidR="006E41BC" w:rsidRPr="0024516D">
        <w:rPr>
          <w:rFonts w:ascii="Times New Roman" w:hAnsi="Times New Roman" w:cs="Times New Roman"/>
          <w:sz w:val="24"/>
          <w:szCs w:val="24"/>
        </w:rPr>
        <w:t xml:space="preserve"> D.N. asserted that it is difficult to walk long distances and that she cannot do yard work as she </w:t>
      </w:r>
      <w:r w:rsidR="008848B9" w:rsidRPr="0024516D">
        <w:rPr>
          <w:rFonts w:ascii="Times New Roman" w:hAnsi="Times New Roman" w:cs="Times New Roman"/>
          <w:sz w:val="24"/>
          <w:szCs w:val="24"/>
        </w:rPr>
        <w:t>quickly</w:t>
      </w:r>
      <w:r w:rsidR="006E41BC" w:rsidRPr="0024516D">
        <w:rPr>
          <w:rFonts w:ascii="Times New Roman" w:hAnsi="Times New Roman" w:cs="Times New Roman"/>
          <w:sz w:val="24"/>
          <w:szCs w:val="24"/>
        </w:rPr>
        <w:t xml:space="preserve"> gets tired.</w:t>
      </w:r>
      <w:r w:rsidR="008848B9" w:rsidRPr="0024516D">
        <w:rPr>
          <w:rFonts w:ascii="Times New Roman" w:hAnsi="Times New Roman" w:cs="Times New Roman"/>
          <w:sz w:val="24"/>
          <w:szCs w:val="24"/>
        </w:rPr>
        <w:t xml:space="preserve"> </w:t>
      </w:r>
      <w:r w:rsidR="006E41BC" w:rsidRPr="0024516D">
        <w:rPr>
          <w:rFonts w:ascii="Times New Roman" w:hAnsi="Times New Roman" w:cs="Times New Roman"/>
          <w:sz w:val="24"/>
          <w:szCs w:val="24"/>
        </w:rPr>
        <w:t xml:space="preserve">Additionally, for the past three weeks, she cannot climb a flight of stairs due to incessant fatigue and shortness of breath. Upon further inquiry, the patient denied substance abuse and cigarette smoking. During the visit, </w:t>
      </w:r>
      <w:r w:rsidR="0024516D">
        <w:rPr>
          <w:rFonts w:ascii="Times New Roman" w:hAnsi="Times New Roman" w:cs="Times New Roman"/>
          <w:sz w:val="24"/>
          <w:szCs w:val="24"/>
        </w:rPr>
        <w:t>she</w:t>
      </w:r>
      <w:r w:rsidR="006E41BC" w:rsidRPr="0024516D">
        <w:rPr>
          <w:rFonts w:ascii="Times New Roman" w:hAnsi="Times New Roman" w:cs="Times New Roman"/>
          <w:sz w:val="24"/>
          <w:szCs w:val="24"/>
        </w:rPr>
        <w:t xml:space="preserve"> was not on any medication and had no known allergies. She was oriented to time, place, and people. Her vital signs were a temperature of </w:t>
      </w:r>
      <w:r w:rsidR="00974667" w:rsidRPr="0024516D">
        <w:rPr>
          <w:rFonts w:ascii="Times New Roman" w:hAnsi="Times New Roman" w:cs="Times New Roman"/>
          <w:sz w:val="24"/>
          <w:szCs w:val="24"/>
        </w:rPr>
        <w:t>37.4</w:t>
      </w:r>
      <w:r w:rsidR="00974667" w:rsidRPr="0024516D">
        <w:rPr>
          <w:rFonts w:ascii="Times New Roman" w:hAnsi="Times New Roman" w:cs="Times New Roman"/>
          <w:color w:val="212121"/>
          <w:sz w:val="24"/>
          <w:szCs w:val="24"/>
          <w:shd w:val="clear" w:color="auto" w:fill="FFFFFF"/>
        </w:rPr>
        <w:t xml:space="preserve"> </w:t>
      </w:r>
      <w:r w:rsidR="00974667" w:rsidRPr="0024516D">
        <w:rPr>
          <w:rFonts w:ascii="Times New Roman" w:hAnsi="Times New Roman" w:cs="Times New Roman"/>
          <w:sz w:val="24"/>
          <w:szCs w:val="24"/>
        </w:rPr>
        <w:t xml:space="preserve">°C, a heart rate of 110 beats per minute, a respiratory rate of 20 breaths per minute, blood pressure of 130/82 mmHg, and oxygen saturation of 95%. </w:t>
      </w:r>
    </w:p>
    <w:p w:rsidR="00DA02D9" w:rsidRPr="0024516D" w:rsidRDefault="00974667" w:rsidP="0024516D">
      <w:pPr>
        <w:spacing w:after="0" w:line="480" w:lineRule="auto"/>
        <w:ind w:firstLine="720"/>
        <w:rPr>
          <w:rFonts w:ascii="Times New Roman" w:hAnsi="Times New Roman" w:cs="Times New Roman"/>
          <w:sz w:val="24"/>
          <w:szCs w:val="24"/>
        </w:rPr>
      </w:pPr>
      <w:r w:rsidRPr="0024516D">
        <w:rPr>
          <w:rFonts w:ascii="Times New Roman" w:hAnsi="Times New Roman" w:cs="Times New Roman"/>
          <w:sz w:val="24"/>
          <w:szCs w:val="24"/>
        </w:rPr>
        <w:t>On physical examination, the patient had an erythematous rash over her cheeks, and a pale conjunctiva was present upon conducting an eye exam.</w:t>
      </w:r>
      <w:r w:rsidR="00F93ED3" w:rsidRPr="0024516D">
        <w:rPr>
          <w:rFonts w:ascii="Times New Roman" w:hAnsi="Times New Roman" w:cs="Times New Roman"/>
          <w:sz w:val="24"/>
          <w:szCs w:val="24"/>
        </w:rPr>
        <w:t xml:space="preserve"> Besides, crackle sounds were noted on auscultation</w:t>
      </w:r>
      <w:r w:rsidR="004909ED" w:rsidRPr="0024516D">
        <w:rPr>
          <w:rFonts w:ascii="Times New Roman" w:hAnsi="Times New Roman" w:cs="Times New Roman"/>
          <w:sz w:val="24"/>
          <w:szCs w:val="24"/>
        </w:rPr>
        <w:t>,</w:t>
      </w:r>
      <w:r w:rsidR="00F93ED3" w:rsidRPr="0024516D">
        <w:rPr>
          <w:rFonts w:ascii="Times New Roman" w:hAnsi="Times New Roman" w:cs="Times New Roman"/>
          <w:sz w:val="24"/>
          <w:szCs w:val="24"/>
        </w:rPr>
        <w:t xml:space="preserve"> and reduced breath sounds.</w:t>
      </w:r>
      <w:r w:rsidR="004909ED" w:rsidRPr="0024516D">
        <w:rPr>
          <w:rFonts w:ascii="Times New Roman" w:hAnsi="Times New Roman" w:cs="Times New Roman"/>
          <w:sz w:val="24"/>
          <w:szCs w:val="24"/>
        </w:rPr>
        <w:t xml:space="preserve"> D.N.’s distended abdomen was non-tender to palpation. The patient’s neurological and cardiovascular examinations were inconspicuous. Based on the patient’s clinical manifestation and physical </w:t>
      </w:r>
      <w:r w:rsidR="008848B9" w:rsidRPr="0024516D">
        <w:rPr>
          <w:rFonts w:ascii="Times New Roman" w:hAnsi="Times New Roman" w:cs="Times New Roman"/>
          <w:sz w:val="24"/>
          <w:szCs w:val="24"/>
        </w:rPr>
        <w:t>review,</w:t>
      </w:r>
      <w:r w:rsidR="004909ED" w:rsidRPr="0024516D">
        <w:rPr>
          <w:rFonts w:ascii="Times New Roman" w:hAnsi="Times New Roman" w:cs="Times New Roman"/>
          <w:sz w:val="24"/>
          <w:szCs w:val="24"/>
        </w:rPr>
        <w:t xml:space="preserve"> the diagnosis was </w:t>
      </w:r>
      <w:r w:rsidR="004909ED" w:rsidRPr="0024516D">
        <w:rPr>
          <w:rFonts w:ascii="Times New Roman" w:hAnsi="Times New Roman" w:cs="Times New Roman"/>
          <w:sz w:val="24"/>
          <w:szCs w:val="24"/>
        </w:rPr>
        <w:t>systemic lupus erythematosus</w:t>
      </w:r>
      <w:r w:rsidR="004909ED" w:rsidRPr="0024516D">
        <w:rPr>
          <w:rFonts w:ascii="Times New Roman" w:hAnsi="Times New Roman" w:cs="Times New Roman"/>
          <w:sz w:val="24"/>
          <w:szCs w:val="24"/>
        </w:rPr>
        <w:t xml:space="preserve">. In this case, her urine and blood </w:t>
      </w:r>
      <w:r w:rsidR="00073FCD" w:rsidRPr="0024516D">
        <w:rPr>
          <w:rFonts w:ascii="Times New Roman" w:hAnsi="Times New Roman" w:cs="Times New Roman"/>
          <w:sz w:val="24"/>
          <w:szCs w:val="24"/>
        </w:rPr>
        <w:t>tests were sent for culture</w:t>
      </w:r>
      <w:r w:rsidR="008848B9" w:rsidRPr="0024516D">
        <w:rPr>
          <w:rFonts w:ascii="Times New Roman" w:hAnsi="Times New Roman" w:cs="Times New Roman"/>
          <w:sz w:val="24"/>
          <w:szCs w:val="24"/>
        </w:rPr>
        <w:t xml:space="preserve"> (Fava &amp; Petri, 2019)</w:t>
      </w:r>
      <w:r w:rsidR="00073FCD" w:rsidRPr="0024516D">
        <w:rPr>
          <w:rFonts w:ascii="Times New Roman" w:hAnsi="Times New Roman" w:cs="Times New Roman"/>
          <w:sz w:val="24"/>
          <w:szCs w:val="24"/>
        </w:rPr>
        <w:t xml:space="preserve">. </w:t>
      </w:r>
      <w:r w:rsidR="00607A60" w:rsidRPr="0024516D">
        <w:rPr>
          <w:rFonts w:ascii="Times New Roman" w:hAnsi="Times New Roman" w:cs="Times New Roman"/>
          <w:sz w:val="24"/>
          <w:szCs w:val="24"/>
        </w:rPr>
        <w:t>The patient was admitted</w:t>
      </w:r>
      <w:r w:rsidR="008848B9" w:rsidRPr="0024516D">
        <w:rPr>
          <w:rFonts w:ascii="Times New Roman" w:hAnsi="Times New Roman" w:cs="Times New Roman"/>
          <w:sz w:val="24"/>
          <w:szCs w:val="24"/>
        </w:rPr>
        <w:t>,</w:t>
      </w:r>
      <w:r w:rsidR="00607A60" w:rsidRPr="0024516D">
        <w:rPr>
          <w:rFonts w:ascii="Times New Roman" w:hAnsi="Times New Roman" w:cs="Times New Roman"/>
          <w:sz w:val="24"/>
          <w:szCs w:val="24"/>
        </w:rPr>
        <w:t xml:space="preserve"> and an</w:t>
      </w:r>
      <w:r w:rsidR="00073FCD" w:rsidRPr="0024516D">
        <w:rPr>
          <w:rFonts w:ascii="Times New Roman" w:hAnsi="Times New Roman" w:cs="Times New Roman"/>
          <w:sz w:val="24"/>
          <w:szCs w:val="24"/>
        </w:rPr>
        <w:t xml:space="preserve"> intravenous fluid replacement was started with 400mg IV of ciprofloxacin and 2 g of ceftriaxone coupled with 1 g of methylprednisolone IV bolus for </w:t>
      </w:r>
      <w:r w:rsidR="008848B9" w:rsidRPr="0024516D">
        <w:rPr>
          <w:rFonts w:ascii="Times New Roman" w:hAnsi="Times New Roman" w:cs="Times New Roman"/>
          <w:sz w:val="24"/>
          <w:szCs w:val="24"/>
        </w:rPr>
        <w:t>three</w:t>
      </w:r>
      <w:r w:rsidR="00073FCD" w:rsidRPr="0024516D">
        <w:rPr>
          <w:rFonts w:ascii="Times New Roman" w:hAnsi="Times New Roman" w:cs="Times New Roman"/>
          <w:sz w:val="24"/>
          <w:szCs w:val="24"/>
        </w:rPr>
        <w:t xml:space="preserve"> days</w:t>
      </w:r>
      <w:r w:rsidR="0024516D" w:rsidRPr="0024516D">
        <w:rPr>
          <w:rFonts w:ascii="Times New Roman" w:hAnsi="Times New Roman" w:cs="Times New Roman"/>
          <w:sz w:val="24"/>
          <w:szCs w:val="24"/>
        </w:rPr>
        <w:t xml:space="preserve"> (</w:t>
      </w:r>
      <w:proofErr w:type="spellStart"/>
      <w:r w:rsidR="0024516D" w:rsidRPr="0024516D">
        <w:rPr>
          <w:rFonts w:ascii="Times New Roman" w:hAnsi="Times New Roman" w:cs="Times New Roman"/>
          <w:sz w:val="24"/>
          <w:szCs w:val="24"/>
        </w:rPr>
        <w:t>Trentin</w:t>
      </w:r>
      <w:proofErr w:type="spellEnd"/>
      <w:r w:rsidR="0024516D" w:rsidRPr="0024516D">
        <w:rPr>
          <w:rFonts w:ascii="Times New Roman" w:hAnsi="Times New Roman" w:cs="Times New Roman"/>
          <w:sz w:val="24"/>
          <w:szCs w:val="24"/>
        </w:rPr>
        <w:t xml:space="preserve"> et al., 2021)</w:t>
      </w:r>
      <w:r w:rsidR="00073FCD" w:rsidRPr="0024516D">
        <w:rPr>
          <w:rFonts w:ascii="Times New Roman" w:hAnsi="Times New Roman" w:cs="Times New Roman"/>
          <w:sz w:val="24"/>
          <w:szCs w:val="24"/>
        </w:rPr>
        <w:t xml:space="preserve">. The blood test indicated a white blood </w:t>
      </w:r>
      <w:r w:rsidR="00607A60" w:rsidRPr="0024516D">
        <w:rPr>
          <w:rFonts w:ascii="Times New Roman" w:hAnsi="Times New Roman" w:cs="Times New Roman"/>
          <w:sz w:val="24"/>
          <w:szCs w:val="24"/>
        </w:rPr>
        <w:t>cell count of 5.200 cells/mm3, a platelet count of 388.000 per mm3, and hemoglobin of 8 g/</w:t>
      </w:r>
      <w:proofErr w:type="spellStart"/>
      <w:r w:rsidR="00607A60" w:rsidRPr="0024516D">
        <w:rPr>
          <w:rFonts w:ascii="Times New Roman" w:hAnsi="Times New Roman" w:cs="Times New Roman"/>
          <w:sz w:val="24"/>
          <w:szCs w:val="24"/>
        </w:rPr>
        <w:t>dL</w:t>
      </w:r>
      <w:proofErr w:type="spellEnd"/>
      <w:r w:rsidR="00607A60" w:rsidRPr="0024516D">
        <w:rPr>
          <w:rFonts w:ascii="Times New Roman" w:hAnsi="Times New Roman" w:cs="Times New Roman"/>
          <w:sz w:val="24"/>
          <w:szCs w:val="24"/>
        </w:rPr>
        <w:t xml:space="preserve">. D.N. was discharged </w:t>
      </w:r>
      <w:r w:rsidR="00607A60" w:rsidRPr="0024516D">
        <w:rPr>
          <w:rFonts w:ascii="Times New Roman" w:hAnsi="Times New Roman" w:cs="Times New Roman"/>
          <w:sz w:val="24"/>
          <w:szCs w:val="24"/>
        </w:rPr>
        <w:lastRenderedPageBreak/>
        <w:t xml:space="preserve">on the second day and prescribed 60mg/day of prednisolone and </w:t>
      </w:r>
      <w:proofErr w:type="spellStart"/>
      <w:r w:rsidR="0024516D" w:rsidRPr="0024516D">
        <w:rPr>
          <w:rFonts w:ascii="Times New Roman" w:hAnsi="Times New Roman" w:cs="Times New Roman"/>
          <w:sz w:val="24"/>
          <w:szCs w:val="24"/>
        </w:rPr>
        <w:t>belimumab</w:t>
      </w:r>
      <w:proofErr w:type="spellEnd"/>
      <w:r w:rsidR="00607A60" w:rsidRPr="0024516D">
        <w:rPr>
          <w:rFonts w:ascii="Times New Roman" w:hAnsi="Times New Roman" w:cs="Times New Roman"/>
          <w:sz w:val="24"/>
          <w:szCs w:val="24"/>
        </w:rPr>
        <w:t xml:space="preserve"> </w:t>
      </w:r>
      <w:r w:rsidR="00100AF3" w:rsidRPr="0024516D">
        <w:rPr>
          <w:rFonts w:ascii="Times New Roman" w:hAnsi="Times New Roman" w:cs="Times New Roman"/>
          <w:sz w:val="24"/>
          <w:szCs w:val="24"/>
        </w:rPr>
        <w:t>400 mg/</w:t>
      </w:r>
      <w:r w:rsidR="0024516D" w:rsidRPr="0024516D">
        <w:rPr>
          <w:rFonts w:ascii="Times New Roman" w:hAnsi="Times New Roman" w:cs="Times New Roman"/>
          <w:sz w:val="24"/>
          <w:szCs w:val="24"/>
        </w:rPr>
        <w:t>week</w:t>
      </w:r>
      <w:r w:rsidR="008848B9" w:rsidRPr="0024516D">
        <w:rPr>
          <w:rFonts w:ascii="Times New Roman" w:hAnsi="Times New Roman" w:cs="Times New Roman"/>
          <w:sz w:val="24"/>
          <w:szCs w:val="24"/>
        </w:rPr>
        <w:t xml:space="preserve"> (Raja et al., 2020).</w:t>
      </w:r>
    </w:p>
    <w:p w:rsidR="008848B9" w:rsidRPr="0024516D" w:rsidRDefault="008848B9" w:rsidP="0024516D">
      <w:pPr>
        <w:spacing w:after="0" w:line="480" w:lineRule="auto"/>
        <w:jc w:val="center"/>
        <w:rPr>
          <w:rFonts w:ascii="Times New Roman" w:hAnsi="Times New Roman" w:cs="Times New Roman"/>
          <w:b/>
          <w:sz w:val="24"/>
          <w:szCs w:val="24"/>
        </w:rPr>
      </w:pPr>
      <w:r w:rsidRPr="0024516D">
        <w:rPr>
          <w:rFonts w:ascii="Times New Roman" w:hAnsi="Times New Roman" w:cs="Times New Roman"/>
          <w:b/>
          <w:sz w:val="24"/>
          <w:szCs w:val="24"/>
        </w:rPr>
        <w:t>References</w:t>
      </w:r>
    </w:p>
    <w:p w:rsidR="008848B9" w:rsidRPr="0024516D" w:rsidRDefault="008848B9" w:rsidP="0024516D">
      <w:pPr>
        <w:spacing w:after="0" w:line="480" w:lineRule="auto"/>
        <w:ind w:left="720" w:hanging="720"/>
        <w:rPr>
          <w:rFonts w:ascii="Times New Roman" w:hAnsi="Times New Roman" w:cs="Times New Roman"/>
          <w:sz w:val="24"/>
          <w:szCs w:val="24"/>
        </w:rPr>
      </w:pPr>
      <w:r w:rsidRPr="0024516D">
        <w:rPr>
          <w:rFonts w:ascii="Times New Roman" w:hAnsi="Times New Roman" w:cs="Times New Roman"/>
          <w:sz w:val="24"/>
          <w:szCs w:val="24"/>
        </w:rPr>
        <w:t xml:space="preserve">Fava, A., &amp; Petri, M. (2019). Systemic lupus erythematosus: Diagnosis and clinical </w:t>
      </w:r>
      <w:bookmarkStart w:id="0" w:name="_GoBack"/>
      <w:bookmarkEnd w:id="0"/>
      <w:r w:rsidRPr="0024516D">
        <w:rPr>
          <w:rFonts w:ascii="Times New Roman" w:hAnsi="Times New Roman" w:cs="Times New Roman"/>
          <w:sz w:val="24"/>
          <w:szCs w:val="24"/>
        </w:rPr>
        <w:t>management. </w:t>
      </w:r>
      <w:r w:rsidRPr="0024516D">
        <w:rPr>
          <w:rFonts w:ascii="Times New Roman" w:hAnsi="Times New Roman" w:cs="Times New Roman"/>
          <w:i/>
          <w:iCs/>
          <w:sz w:val="24"/>
          <w:szCs w:val="24"/>
        </w:rPr>
        <w:t>Journal of Autoimmunity</w:t>
      </w:r>
      <w:r w:rsidRPr="0024516D">
        <w:rPr>
          <w:rFonts w:ascii="Times New Roman" w:hAnsi="Times New Roman" w:cs="Times New Roman"/>
          <w:sz w:val="24"/>
          <w:szCs w:val="24"/>
        </w:rPr>
        <w:t>, </w:t>
      </w:r>
      <w:r w:rsidRPr="0024516D">
        <w:rPr>
          <w:rFonts w:ascii="Times New Roman" w:hAnsi="Times New Roman" w:cs="Times New Roman"/>
          <w:i/>
          <w:iCs/>
          <w:sz w:val="24"/>
          <w:szCs w:val="24"/>
        </w:rPr>
        <w:t>96</w:t>
      </w:r>
      <w:r w:rsidRPr="0024516D">
        <w:rPr>
          <w:rFonts w:ascii="Times New Roman" w:hAnsi="Times New Roman" w:cs="Times New Roman"/>
          <w:sz w:val="24"/>
          <w:szCs w:val="24"/>
        </w:rPr>
        <w:t xml:space="preserve">, 1–13. </w:t>
      </w:r>
      <w:hyperlink r:id="rId4" w:history="1">
        <w:r w:rsidRPr="0024516D">
          <w:rPr>
            <w:rStyle w:val="Hyperlink"/>
            <w:rFonts w:ascii="Times New Roman" w:hAnsi="Times New Roman" w:cs="Times New Roman"/>
            <w:sz w:val="24"/>
            <w:szCs w:val="24"/>
          </w:rPr>
          <w:t>https://doi.org/10.1016/j.jaut.2018.11.001</w:t>
        </w:r>
      </w:hyperlink>
    </w:p>
    <w:p w:rsidR="0024516D" w:rsidRPr="0024516D" w:rsidRDefault="0024516D" w:rsidP="0024516D">
      <w:pPr>
        <w:spacing w:after="0" w:line="480" w:lineRule="auto"/>
        <w:ind w:left="720" w:hanging="720"/>
        <w:rPr>
          <w:rFonts w:ascii="Times New Roman" w:hAnsi="Times New Roman" w:cs="Times New Roman"/>
          <w:sz w:val="24"/>
          <w:szCs w:val="24"/>
        </w:rPr>
      </w:pPr>
      <w:proofErr w:type="spellStart"/>
      <w:r w:rsidRPr="0024516D">
        <w:rPr>
          <w:rFonts w:ascii="Times New Roman" w:hAnsi="Times New Roman" w:cs="Times New Roman"/>
          <w:sz w:val="24"/>
          <w:szCs w:val="24"/>
        </w:rPr>
        <w:t>Trentin</w:t>
      </w:r>
      <w:proofErr w:type="spellEnd"/>
      <w:r w:rsidRPr="0024516D">
        <w:rPr>
          <w:rFonts w:ascii="Times New Roman" w:hAnsi="Times New Roman" w:cs="Times New Roman"/>
          <w:sz w:val="24"/>
          <w:szCs w:val="24"/>
        </w:rPr>
        <w:t xml:space="preserve">, F., Zucchi, D., </w:t>
      </w:r>
      <w:proofErr w:type="spellStart"/>
      <w:r w:rsidRPr="0024516D">
        <w:rPr>
          <w:rFonts w:ascii="Times New Roman" w:hAnsi="Times New Roman" w:cs="Times New Roman"/>
          <w:sz w:val="24"/>
          <w:szCs w:val="24"/>
        </w:rPr>
        <w:t>Signorini</w:t>
      </w:r>
      <w:proofErr w:type="spellEnd"/>
      <w:r w:rsidRPr="0024516D">
        <w:rPr>
          <w:rFonts w:ascii="Times New Roman" w:hAnsi="Times New Roman" w:cs="Times New Roman"/>
          <w:sz w:val="24"/>
          <w:szCs w:val="24"/>
        </w:rPr>
        <w:t xml:space="preserve">, V., </w:t>
      </w:r>
      <w:proofErr w:type="spellStart"/>
      <w:r w:rsidRPr="0024516D">
        <w:rPr>
          <w:rFonts w:ascii="Times New Roman" w:hAnsi="Times New Roman" w:cs="Times New Roman"/>
          <w:sz w:val="24"/>
          <w:szCs w:val="24"/>
        </w:rPr>
        <w:t>Elefante</w:t>
      </w:r>
      <w:proofErr w:type="spellEnd"/>
      <w:r w:rsidRPr="0024516D">
        <w:rPr>
          <w:rFonts w:ascii="Times New Roman" w:hAnsi="Times New Roman" w:cs="Times New Roman"/>
          <w:sz w:val="24"/>
          <w:szCs w:val="24"/>
        </w:rPr>
        <w:t xml:space="preserve">, E., </w:t>
      </w:r>
      <w:proofErr w:type="spellStart"/>
      <w:r w:rsidRPr="0024516D">
        <w:rPr>
          <w:rFonts w:ascii="Times New Roman" w:hAnsi="Times New Roman" w:cs="Times New Roman"/>
          <w:sz w:val="24"/>
          <w:szCs w:val="24"/>
        </w:rPr>
        <w:t>Bortoluzzi</w:t>
      </w:r>
      <w:proofErr w:type="spellEnd"/>
      <w:r w:rsidRPr="0024516D">
        <w:rPr>
          <w:rFonts w:ascii="Times New Roman" w:hAnsi="Times New Roman" w:cs="Times New Roman"/>
          <w:sz w:val="24"/>
          <w:szCs w:val="24"/>
        </w:rPr>
        <w:t xml:space="preserve">, A., &amp; </w:t>
      </w:r>
      <w:proofErr w:type="spellStart"/>
      <w:r w:rsidRPr="0024516D">
        <w:rPr>
          <w:rFonts w:ascii="Times New Roman" w:hAnsi="Times New Roman" w:cs="Times New Roman"/>
          <w:sz w:val="24"/>
          <w:szCs w:val="24"/>
        </w:rPr>
        <w:t>Tani</w:t>
      </w:r>
      <w:proofErr w:type="spellEnd"/>
      <w:r w:rsidRPr="0024516D">
        <w:rPr>
          <w:rFonts w:ascii="Times New Roman" w:hAnsi="Times New Roman" w:cs="Times New Roman"/>
          <w:sz w:val="24"/>
          <w:szCs w:val="24"/>
        </w:rPr>
        <w:t>, C. (2021). One year in review 2021: Systemic lupus erythematosus. </w:t>
      </w:r>
      <w:r w:rsidRPr="0024516D">
        <w:rPr>
          <w:rFonts w:ascii="Times New Roman" w:hAnsi="Times New Roman" w:cs="Times New Roman"/>
          <w:i/>
          <w:iCs/>
          <w:sz w:val="24"/>
          <w:szCs w:val="24"/>
        </w:rPr>
        <w:t>Clinical and Experimental Rheumatology</w:t>
      </w:r>
      <w:r w:rsidRPr="0024516D">
        <w:rPr>
          <w:rFonts w:ascii="Times New Roman" w:hAnsi="Times New Roman" w:cs="Times New Roman"/>
          <w:sz w:val="24"/>
          <w:szCs w:val="24"/>
        </w:rPr>
        <w:t>, </w:t>
      </w:r>
      <w:r w:rsidRPr="0024516D">
        <w:rPr>
          <w:rFonts w:ascii="Times New Roman" w:hAnsi="Times New Roman" w:cs="Times New Roman"/>
          <w:i/>
          <w:iCs/>
          <w:sz w:val="24"/>
          <w:szCs w:val="24"/>
        </w:rPr>
        <w:t>39</w:t>
      </w:r>
      <w:r w:rsidRPr="0024516D">
        <w:rPr>
          <w:rFonts w:ascii="Times New Roman" w:hAnsi="Times New Roman" w:cs="Times New Roman"/>
          <w:sz w:val="24"/>
          <w:szCs w:val="24"/>
        </w:rPr>
        <w:t xml:space="preserve">(2), 231–241. </w:t>
      </w:r>
      <w:hyperlink r:id="rId5" w:history="1">
        <w:r w:rsidRPr="0024516D">
          <w:rPr>
            <w:rStyle w:val="Hyperlink"/>
            <w:rFonts w:ascii="Times New Roman" w:hAnsi="Times New Roman" w:cs="Times New Roman"/>
            <w:sz w:val="24"/>
            <w:szCs w:val="24"/>
          </w:rPr>
          <w:t>https://doi.org/10.55563/clinexprheumatol/7gzsxp</w:t>
        </w:r>
      </w:hyperlink>
    </w:p>
    <w:p w:rsidR="0024516D" w:rsidRPr="0024516D" w:rsidRDefault="0024516D" w:rsidP="0024516D">
      <w:pPr>
        <w:spacing w:after="0" w:line="480" w:lineRule="auto"/>
        <w:ind w:left="720" w:hanging="720"/>
        <w:rPr>
          <w:rFonts w:ascii="Times New Roman" w:hAnsi="Times New Roman" w:cs="Times New Roman"/>
          <w:sz w:val="24"/>
          <w:szCs w:val="24"/>
        </w:rPr>
      </w:pPr>
      <w:r w:rsidRPr="0024516D">
        <w:rPr>
          <w:rFonts w:ascii="Times New Roman" w:hAnsi="Times New Roman" w:cs="Times New Roman"/>
          <w:sz w:val="24"/>
          <w:szCs w:val="24"/>
        </w:rPr>
        <w:t xml:space="preserve">Raja, T. W., </w:t>
      </w:r>
      <w:proofErr w:type="spellStart"/>
      <w:r w:rsidRPr="0024516D">
        <w:rPr>
          <w:rFonts w:ascii="Times New Roman" w:hAnsi="Times New Roman" w:cs="Times New Roman"/>
          <w:sz w:val="24"/>
          <w:szCs w:val="24"/>
        </w:rPr>
        <w:t>Veeramuthu</w:t>
      </w:r>
      <w:proofErr w:type="spellEnd"/>
      <w:r w:rsidRPr="0024516D">
        <w:rPr>
          <w:rFonts w:ascii="Times New Roman" w:hAnsi="Times New Roman" w:cs="Times New Roman"/>
          <w:sz w:val="24"/>
          <w:szCs w:val="24"/>
        </w:rPr>
        <w:t xml:space="preserve">, D., </w:t>
      </w:r>
      <w:proofErr w:type="spellStart"/>
      <w:r w:rsidRPr="0024516D">
        <w:rPr>
          <w:rFonts w:ascii="Times New Roman" w:hAnsi="Times New Roman" w:cs="Times New Roman"/>
          <w:sz w:val="24"/>
          <w:szCs w:val="24"/>
        </w:rPr>
        <w:t>Savarimuthu</w:t>
      </w:r>
      <w:proofErr w:type="spellEnd"/>
      <w:r w:rsidRPr="0024516D">
        <w:rPr>
          <w:rFonts w:ascii="Times New Roman" w:hAnsi="Times New Roman" w:cs="Times New Roman"/>
          <w:sz w:val="24"/>
          <w:szCs w:val="24"/>
        </w:rPr>
        <w:t>, I., &amp; Al-Dhabi, N. A. (2020). Current trends in the treatment of systemic lupus erythematosus. </w:t>
      </w:r>
      <w:r w:rsidRPr="0024516D">
        <w:rPr>
          <w:rFonts w:ascii="Times New Roman" w:hAnsi="Times New Roman" w:cs="Times New Roman"/>
          <w:i/>
          <w:iCs/>
          <w:sz w:val="24"/>
          <w:szCs w:val="24"/>
        </w:rPr>
        <w:t>Current Pharmaceutical Design</w:t>
      </w:r>
      <w:r w:rsidRPr="0024516D">
        <w:rPr>
          <w:rFonts w:ascii="Times New Roman" w:hAnsi="Times New Roman" w:cs="Times New Roman"/>
          <w:sz w:val="24"/>
          <w:szCs w:val="24"/>
        </w:rPr>
        <w:t>, </w:t>
      </w:r>
      <w:r w:rsidRPr="0024516D">
        <w:rPr>
          <w:rFonts w:ascii="Times New Roman" w:hAnsi="Times New Roman" w:cs="Times New Roman"/>
          <w:i/>
          <w:iCs/>
          <w:sz w:val="24"/>
          <w:szCs w:val="24"/>
        </w:rPr>
        <w:t>26</w:t>
      </w:r>
      <w:r w:rsidRPr="0024516D">
        <w:rPr>
          <w:rFonts w:ascii="Times New Roman" w:hAnsi="Times New Roman" w:cs="Times New Roman"/>
          <w:sz w:val="24"/>
          <w:szCs w:val="24"/>
        </w:rPr>
        <w:t xml:space="preserve">(22), 2602–2609. </w:t>
      </w:r>
      <w:hyperlink r:id="rId6" w:history="1">
        <w:r w:rsidRPr="0024516D">
          <w:rPr>
            <w:rStyle w:val="Hyperlink"/>
            <w:rFonts w:ascii="Times New Roman" w:hAnsi="Times New Roman" w:cs="Times New Roman"/>
            <w:sz w:val="24"/>
            <w:szCs w:val="24"/>
          </w:rPr>
          <w:t>https://doi.org/10.2174/1381612826666200211122633</w:t>
        </w:r>
      </w:hyperlink>
    </w:p>
    <w:p w:rsidR="0024516D" w:rsidRPr="0024516D" w:rsidRDefault="0024516D" w:rsidP="0024516D">
      <w:pPr>
        <w:spacing w:after="0" w:line="480" w:lineRule="auto"/>
        <w:ind w:left="720" w:hanging="720"/>
        <w:rPr>
          <w:rFonts w:ascii="Times New Roman" w:hAnsi="Times New Roman" w:cs="Times New Roman"/>
          <w:sz w:val="24"/>
          <w:szCs w:val="24"/>
        </w:rPr>
      </w:pPr>
    </w:p>
    <w:p w:rsidR="0024516D" w:rsidRPr="0024516D" w:rsidRDefault="0024516D" w:rsidP="0024516D">
      <w:pPr>
        <w:spacing w:after="0" w:line="480" w:lineRule="auto"/>
        <w:rPr>
          <w:rFonts w:ascii="Times New Roman" w:hAnsi="Times New Roman" w:cs="Times New Roman"/>
          <w:sz w:val="24"/>
          <w:szCs w:val="24"/>
        </w:rPr>
      </w:pPr>
    </w:p>
    <w:p w:rsidR="008848B9" w:rsidRPr="0024516D" w:rsidRDefault="008848B9" w:rsidP="0024516D">
      <w:pPr>
        <w:spacing w:after="0" w:line="480" w:lineRule="auto"/>
        <w:rPr>
          <w:rFonts w:ascii="Times New Roman" w:hAnsi="Times New Roman" w:cs="Times New Roman"/>
          <w:sz w:val="24"/>
          <w:szCs w:val="24"/>
        </w:rPr>
      </w:pPr>
    </w:p>
    <w:p w:rsidR="008848B9" w:rsidRPr="0024516D" w:rsidRDefault="008848B9" w:rsidP="0024516D">
      <w:pPr>
        <w:spacing w:after="0" w:line="480" w:lineRule="auto"/>
        <w:rPr>
          <w:rFonts w:ascii="Times New Roman" w:hAnsi="Times New Roman" w:cs="Times New Roman"/>
          <w:sz w:val="24"/>
          <w:szCs w:val="24"/>
        </w:rPr>
      </w:pPr>
    </w:p>
    <w:sectPr w:rsidR="008848B9" w:rsidRPr="002451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D9"/>
    <w:rsid w:val="00073FCD"/>
    <w:rsid w:val="00100AF3"/>
    <w:rsid w:val="001E4A6C"/>
    <w:rsid w:val="0024516D"/>
    <w:rsid w:val="004909ED"/>
    <w:rsid w:val="00607A60"/>
    <w:rsid w:val="006D0046"/>
    <w:rsid w:val="006E41BC"/>
    <w:rsid w:val="008848B9"/>
    <w:rsid w:val="008A32F0"/>
    <w:rsid w:val="00974667"/>
    <w:rsid w:val="00DA02D9"/>
    <w:rsid w:val="00F9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A632"/>
  <w15:chartTrackingRefBased/>
  <w15:docId w15:val="{496F5B92-A02E-4A24-AC0F-3B847893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8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141072">
      <w:bodyDiv w:val="1"/>
      <w:marLeft w:val="0"/>
      <w:marRight w:val="0"/>
      <w:marTop w:val="0"/>
      <w:marBottom w:val="0"/>
      <w:divBdr>
        <w:top w:val="none" w:sz="0" w:space="0" w:color="auto"/>
        <w:left w:val="none" w:sz="0" w:space="0" w:color="auto"/>
        <w:bottom w:val="none" w:sz="0" w:space="0" w:color="auto"/>
        <w:right w:val="none" w:sz="0" w:space="0" w:color="auto"/>
      </w:divBdr>
      <w:divsChild>
        <w:div w:id="14289636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00645391">
      <w:bodyDiv w:val="1"/>
      <w:marLeft w:val="0"/>
      <w:marRight w:val="0"/>
      <w:marTop w:val="0"/>
      <w:marBottom w:val="0"/>
      <w:divBdr>
        <w:top w:val="none" w:sz="0" w:space="0" w:color="auto"/>
        <w:left w:val="none" w:sz="0" w:space="0" w:color="auto"/>
        <w:bottom w:val="none" w:sz="0" w:space="0" w:color="auto"/>
        <w:right w:val="none" w:sz="0" w:space="0" w:color="auto"/>
      </w:divBdr>
      <w:divsChild>
        <w:div w:id="70637382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48290266">
      <w:bodyDiv w:val="1"/>
      <w:marLeft w:val="0"/>
      <w:marRight w:val="0"/>
      <w:marTop w:val="0"/>
      <w:marBottom w:val="0"/>
      <w:divBdr>
        <w:top w:val="none" w:sz="0" w:space="0" w:color="auto"/>
        <w:left w:val="none" w:sz="0" w:space="0" w:color="auto"/>
        <w:bottom w:val="none" w:sz="0" w:space="0" w:color="auto"/>
        <w:right w:val="none" w:sz="0" w:space="0" w:color="auto"/>
      </w:divBdr>
      <w:divsChild>
        <w:div w:id="13101617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74/1381612826666200211122633" TargetMode="External"/><Relationship Id="rId5" Type="http://schemas.openxmlformats.org/officeDocument/2006/relationships/hyperlink" Target="https://doi.org/10.55563/clinexprheumatol/7gzsxp" TargetMode="External"/><Relationship Id="rId4" Type="http://schemas.openxmlformats.org/officeDocument/2006/relationships/hyperlink" Target="https://doi.org/10.1016/j.jaut.2018.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2023-01-18T12:05:00Z</dcterms:created>
  <dcterms:modified xsi:type="dcterms:W3CDTF">2023-01-18T12:05:00Z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04056298-2593-41d2-9602-e0bb3d064e01</vt:lpwstr>
  </property>
</Properties>
</file>