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431C" w14:textId="77777777" w:rsidR="006E5F99" w:rsidRPr="006E5F99" w:rsidRDefault="006E5F99" w:rsidP="006E5F99">
      <w:pPr>
        <w:spacing w:after="0" w:line="240" w:lineRule="auto"/>
        <w:outlineLvl w:val="2"/>
        <w:rPr>
          <w:rFonts w:ascii="Arial" w:eastAsia="Times New Roman" w:hAnsi="Arial" w:cs="Times New Roman"/>
          <w:b/>
          <w:bCs/>
          <w:color w:val="B40000"/>
          <w:sz w:val="27"/>
          <w:szCs w:val="27"/>
        </w:rPr>
      </w:pPr>
      <w:r w:rsidRPr="006E5F99">
        <w:rPr>
          <w:rFonts w:ascii="Arial" w:eastAsia="Times New Roman" w:hAnsi="Arial" w:cs="Times New Roman"/>
          <w:b/>
          <w:bCs/>
          <w:color w:val="B40000"/>
          <w:sz w:val="27"/>
          <w:szCs w:val="27"/>
        </w:rPr>
        <w:br/>
        <w:t>Re: Week 3 Discussion 2: Psychotropic Drugs</w:t>
      </w:r>
    </w:p>
    <w:p w14:paraId="5E69579F" w14:textId="77777777" w:rsidR="006E5F99" w:rsidRPr="006E5F99" w:rsidRDefault="006E5F99" w:rsidP="006E5F99">
      <w:pPr>
        <w:spacing w:after="0" w:line="240" w:lineRule="auto"/>
        <w:rPr>
          <w:rFonts w:ascii="Times New Roman" w:eastAsia="Times New Roman" w:hAnsi="Times New Roman" w:cs="Times New Roman"/>
          <w:sz w:val="24"/>
          <w:szCs w:val="24"/>
        </w:rPr>
      </w:pPr>
      <w:r w:rsidRPr="006E5F99">
        <w:rPr>
          <w:rFonts w:ascii="Times New Roman" w:eastAsia="Times New Roman" w:hAnsi="Times New Roman" w:cs="Times New Roman"/>
          <w:sz w:val="24"/>
          <w:szCs w:val="24"/>
        </w:rPr>
        <w:t>by </w:t>
      </w:r>
      <w:hyperlink r:id="rId4" w:history="1">
        <w:r w:rsidRPr="006E5F99">
          <w:rPr>
            <w:rFonts w:ascii="Times New Roman" w:eastAsia="Times New Roman" w:hAnsi="Times New Roman" w:cs="Times New Roman"/>
            <w:color w:val="0000FF"/>
            <w:sz w:val="24"/>
            <w:szCs w:val="24"/>
            <w:u w:val="single"/>
          </w:rPr>
          <w:t>Kendra Palumbo</w:t>
        </w:r>
      </w:hyperlink>
      <w:r w:rsidRPr="006E5F99">
        <w:rPr>
          <w:rFonts w:ascii="Times New Roman" w:eastAsia="Times New Roman" w:hAnsi="Times New Roman" w:cs="Times New Roman"/>
          <w:sz w:val="24"/>
          <w:szCs w:val="24"/>
        </w:rPr>
        <w:t> - Wednesday, 18 January 2023, 9:19 PM</w:t>
      </w:r>
    </w:p>
    <w:p w14:paraId="0A534F6C" w14:textId="77777777" w:rsidR="006E5F99" w:rsidRPr="006E5F99" w:rsidRDefault="006E5F99" w:rsidP="006E5F99">
      <w:pPr>
        <w:shd w:val="clear" w:color="auto" w:fill="FFFFFF"/>
        <w:spacing w:after="0" w:line="240" w:lineRule="auto"/>
        <w:rPr>
          <w:rFonts w:ascii="Arial" w:eastAsia="Times New Roman" w:hAnsi="Arial" w:cs="Times New Roman"/>
          <w:color w:val="373A3C"/>
          <w:sz w:val="23"/>
          <w:szCs w:val="23"/>
        </w:rPr>
      </w:pPr>
      <w:r w:rsidRPr="006E5F99">
        <w:rPr>
          <w:rFonts w:ascii="Arial" w:eastAsia="Times New Roman" w:hAnsi="Arial" w:cs="Times New Roman"/>
          <w:color w:val="373A3C"/>
          <w:sz w:val="23"/>
          <w:szCs w:val="23"/>
        </w:rPr>
        <w:t xml:space="preserve">For this discussion post, I choose the medication amitriptyline which is metabolized by CYP2A4. Amitriptyline is approved to be used to treat depression in the adult population. Off-label uses include anxiety, post-traumatic stress disorder, insomnia, and chronic pain. The class of drug amitriptyline is a part of is tricyclic antidepressant (TCA). The mechanism of action is blocking reuptake of serotonin and norepinephrine neurotransmitters. Common side effects of amitriptyline include weight gain, dizziness, and sedation. The FDA labeled a black box warning on this medication for increased risk of suicidal ideation in the adolescent population. Amitriptyline has anticholinergic effects which include dry mouth, urinary retention, and blurred vision. Amitriptyline should be used in caution with patient that have a seizure disorder. This medication can decrease seizure threshold. Amitriptyline can also induce mania in rare cases if the individual has a history of bipolar disorder or family history of bipolar disorder. This medication should be avoided in individuals with a history if OT prolongation or arrhythmias (Marwaha &amp; </w:t>
      </w:r>
      <w:proofErr w:type="spellStart"/>
      <w:r w:rsidRPr="006E5F99">
        <w:rPr>
          <w:rFonts w:ascii="Arial" w:eastAsia="Times New Roman" w:hAnsi="Arial" w:cs="Times New Roman"/>
          <w:color w:val="373A3C"/>
          <w:sz w:val="23"/>
          <w:szCs w:val="23"/>
        </w:rPr>
        <w:t>Thour</w:t>
      </w:r>
      <w:proofErr w:type="spellEnd"/>
      <w:r w:rsidRPr="006E5F99">
        <w:rPr>
          <w:rFonts w:ascii="Arial" w:eastAsia="Times New Roman" w:hAnsi="Arial" w:cs="Times New Roman"/>
          <w:color w:val="373A3C"/>
          <w:sz w:val="23"/>
          <w:szCs w:val="23"/>
        </w:rPr>
        <w:t>, 2022). I hypothesize that if amitriptyline is taken with an inhibitor, the serum concentration of the amitriptyline will be high and cause toxicity. If amitriptyline is taken with an inducer, I hypothesis that the amitriptyline will be excreted from the body too quickly.</w:t>
      </w:r>
      <w:r w:rsidRPr="006E5F99">
        <w:rPr>
          <w:rFonts w:ascii="Arial" w:eastAsia="Times New Roman" w:hAnsi="Arial" w:cs="Times New Roman"/>
          <w:color w:val="373A3C"/>
          <w:sz w:val="23"/>
          <w:szCs w:val="23"/>
        </w:rPr>
        <w:br/>
      </w:r>
      <w:r w:rsidRPr="006E5F99">
        <w:rPr>
          <w:rFonts w:ascii="Arial" w:eastAsia="Times New Roman" w:hAnsi="Arial" w:cs="Times New Roman"/>
          <w:color w:val="373A3C"/>
          <w:sz w:val="23"/>
          <w:szCs w:val="23"/>
        </w:rPr>
        <w:br/>
        <w:t xml:space="preserve">Amitriptyline is metabolized in the liver to nortriptyline. It is metabolized by CYP3A4 and CYP2C19. It is recommended that this medication is taken at </w:t>
      </w:r>
      <w:proofErr w:type="gramStart"/>
      <w:r w:rsidRPr="006E5F99">
        <w:rPr>
          <w:rFonts w:ascii="Arial" w:eastAsia="Times New Roman" w:hAnsi="Arial" w:cs="Times New Roman"/>
          <w:color w:val="373A3C"/>
          <w:sz w:val="23"/>
          <w:szCs w:val="23"/>
        </w:rPr>
        <w:t>night time</w:t>
      </w:r>
      <w:proofErr w:type="gramEnd"/>
      <w:r w:rsidRPr="006E5F99">
        <w:rPr>
          <w:rFonts w:ascii="Arial" w:eastAsia="Times New Roman" w:hAnsi="Arial" w:cs="Times New Roman"/>
          <w:color w:val="373A3C"/>
          <w:sz w:val="23"/>
          <w:szCs w:val="23"/>
        </w:rPr>
        <w:t xml:space="preserve"> sure to sedation being a side effect (Birnbaum &amp; Hirsch, 2022). Substrates for the enzyme CYP3A4 include acetaminophen and codeine. If CYP3A4 is inhibited, it could result in drug toxicity. Side effects of </w:t>
      </w:r>
      <w:proofErr w:type="spellStart"/>
      <w:r w:rsidRPr="006E5F99">
        <w:rPr>
          <w:rFonts w:ascii="Arial" w:eastAsia="Times New Roman" w:hAnsi="Arial" w:cs="Times New Roman"/>
          <w:color w:val="373A3C"/>
          <w:sz w:val="23"/>
          <w:szCs w:val="23"/>
        </w:rPr>
        <w:t>amatriptaline</w:t>
      </w:r>
      <w:proofErr w:type="spellEnd"/>
      <w:r w:rsidRPr="006E5F99">
        <w:rPr>
          <w:rFonts w:ascii="Arial" w:eastAsia="Times New Roman" w:hAnsi="Arial" w:cs="Times New Roman"/>
          <w:color w:val="373A3C"/>
          <w:sz w:val="23"/>
          <w:szCs w:val="23"/>
        </w:rPr>
        <w:t xml:space="preserve"> toxicity include sedation, seizure, tachycardia, and QT prolongation. Inhibitors of the enzyme CYP3A4 include diltiazem, ritonavir, verapamil, and grapefruit. In individuals should be educated on dietary considerations. Individuals taking amitriptyline should not consume grapefruit due to inhibition of the enzyme. When the enzyme is induced, an increase in the rate of drug’s metabolism can occur. Inducers of the enzyme CYP3A4 include phenobarbital, phenytoin, and glucocorticoids (Samuels &amp; </w:t>
      </w:r>
      <w:proofErr w:type="spellStart"/>
      <w:r w:rsidRPr="006E5F99">
        <w:rPr>
          <w:rFonts w:ascii="Arial" w:eastAsia="Times New Roman" w:hAnsi="Arial" w:cs="Times New Roman"/>
          <w:color w:val="373A3C"/>
          <w:sz w:val="23"/>
          <w:szCs w:val="23"/>
        </w:rPr>
        <w:t>Sevrioukova</w:t>
      </w:r>
      <w:proofErr w:type="spellEnd"/>
      <w:r w:rsidRPr="006E5F99">
        <w:rPr>
          <w:rFonts w:ascii="Arial" w:eastAsia="Times New Roman" w:hAnsi="Arial" w:cs="Times New Roman"/>
          <w:color w:val="373A3C"/>
          <w:sz w:val="23"/>
          <w:szCs w:val="23"/>
        </w:rPr>
        <w:t>, 2018). The individual will likely not feel any positive effects of the TCA. If the patient is taking phenobarbital to prevent seizures, this causes the medication to be less effective which can lead to seizures.</w:t>
      </w:r>
      <w:r w:rsidRPr="006E5F99">
        <w:rPr>
          <w:rFonts w:ascii="Arial" w:eastAsia="Times New Roman" w:hAnsi="Arial" w:cs="Times New Roman"/>
          <w:color w:val="373A3C"/>
          <w:sz w:val="23"/>
          <w:szCs w:val="23"/>
        </w:rPr>
        <w:br/>
      </w:r>
      <w:r w:rsidRPr="006E5F99">
        <w:rPr>
          <w:rFonts w:ascii="Arial" w:eastAsia="Times New Roman" w:hAnsi="Arial" w:cs="Times New Roman"/>
          <w:color w:val="373A3C"/>
          <w:sz w:val="23"/>
          <w:szCs w:val="23"/>
        </w:rPr>
        <w:br/>
        <w:t>References</w:t>
      </w:r>
      <w:r w:rsidRPr="006E5F99">
        <w:rPr>
          <w:rFonts w:ascii="Arial" w:eastAsia="Times New Roman" w:hAnsi="Arial" w:cs="Times New Roman"/>
          <w:color w:val="373A3C"/>
          <w:sz w:val="23"/>
          <w:szCs w:val="23"/>
        </w:rPr>
        <w:br/>
      </w:r>
      <w:r w:rsidRPr="006E5F99">
        <w:rPr>
          <w:rFonts w:ascii="Arial" w:eastAsia="Times New Roman" w:hAnsi="Arial" w:cs="Times New Roman"/>
          <w:color w:val="373A3C"/>
          <w:sz w:val="23"/>
          <w:szCs w:val="23"/>
        </w:rPr>
        <w:br/>
        <w:t>Birnbaum, R.J., &amp; Hirsch, M. (2022, November 07). Tricyclic and tetracyclic drugs: Pharmacology, administration, and side effects. https://www.uptodate.com/contents/tricyclic-and-tetracyclic-drugs-pharmacology-administration-and-side-effects?search=amitriptyline%20pharmacokinetics&amp;source=search_result&amp;selectedTitle=1~141&amp;usage_type=default&amp;display_rank=1#H9</w:t>
      </w:r>
      <w:r w:rsidRPr="006E5F99">
        <w:rPr>
          <w:rFonts w:ascii="Arial" w:eastAsia="Times New Roman" w:hAnsi="Arial" w:cs="Times New Roman"/>
          <w:color w:val="373A3C"/>
          <w:sz w:val="23"/>
          <w:szCs w:val="23"/>
        </w:rPr>
        <w:br/>
      </w:r>
      <w:r w:rsidRPr="006E5F99">
        <w:rPr>
          <w:rFonts w:ascii="Arial" w:eastAsia="Times New Roman" w:hAnsi="Arial" w:cs="Times New Roman"/>
          <w:color w:val="373A3C"/>
          <w:sz w:val="23"/>
          <w:szCs w:val="23"/>
        </w:rPr>
        <w:br/>
        <w:t xml:space="preserve">Marwaha, R., &amp; </w:t>
      </w:r>
      <w:proofErr w:type="spellStart"/>
      <w:r w:rsidRPr="006E5F99">
        <w:rPr>
          <w:rFonts w:ascii="Arial" w:eastAsia="Times New Roman" w:hAnsi="Arial" w:cs="Times New Roman"/>
          <w:color w:val="373A3C"/>
          <w:sz w:val="23"/>
          <w:szCs w:val="23"/>
        </w:rPr>
        <w:t>Thour</w:t>
      </w:r>
      <w:proofErr w:type="spellEnd"/>
      <w:r w:rsidRPr="006E5F99">
        <w:rPr>
          <w:rFonts w:ascii="Arial" w:eastAsia="Times New Roman" w:hAnsi="Arial" w:cs="Times New Roman"/>
          <w:color w:val="373A3C"/>
          <w:sz w:val="23"/>
          <w:szCs w:val="23"/>
        </w:rPr>
        <w:t xml:space="preserve">, A. Amitriptyline. [Updated 2022 May 15]. In: </w:t>
      </w:r>
      <w:proofErr w:type="spellStart"/>
      <w:r w:rsidRPr="006E5F99">
        <w:rPr>
          <w:rFonts w:ascii="Arial" w:eastAsia="Times New Roman" w:hAnsi="Arial" w:cs="Times New Roman"/>
          <w:color w:val="373A3C"/>
          <w:sz w:val="23"/>
          <w:szCs w:val="23"/>
        </w:rPr>
        <w:t>StatPearls</w:t>
      </w:r>
      <w:proofErr w:type="spellEnd"/>
      <w:r w:rsidRPr="006E5F99">
        <w:rPr>
          <w:rFonts w:ascii="Arial" w:eastAsia="Times New Roman" w:hAnsi="Arial" w:cs="Times New Roman"/>
          <w:color w:val="373A3C"/>
          <w:sz w:val="23"/>
          <w:szCs w:val="23"/>
        </w:rPr>
        <w:t xml:space="preserve"> [Internet]. Treasure Island (FL): </w:t>
      </w:r>
      <w:proofErr w:type="spellStart"/>
      <w:r w:rsidRPr="006E5F99">
        <w:rPr>
          <w:rFonts w:ascii="Arial" w:eastAsia="Times New Roman" w:hAnsi="Arial" w:cs="Times New Roman"/>
          <w:color w:val="373A3C"/>
          <w:sz w:val="23"/>
          <w:szCs w:val="23"/>
        </w:rPr>
        <w:t>StatPearls</w:t>
      </w:r>
      <w:proofErr w:type="spellEnd"/>
      <w:r w:rsidRPr="006E5F99">
        <w:rPr>
          <w:rFonts w:ascii="Arial" w:eastAsia="Times New Roman" w:hAnsi="Arial" w:cs="Times New Roman"/>
          <w:color w:val="373A3C"/>
          <w:sz w:val="23"/>
          <w:szCs w:val="23"/>
        </w:rPr>
        <w:t xml:space="preserve"> Publishing; 2022 Jan-. Available from: https://www.ncbi.nlm.nih.gov/books/NBK537225/</w:t>
      </w:r>
      <w:r w:rsidRPr="006E5F99">
        <w:rPr>
          <w:rFonts w:ascii="Arial" w:eastAsia="Times New Roman" w:hAnsi="Arial" w:cs="Times New Roman"/>
          <w:color w:val="373A3C"/>
          <w:sz w:val="23"/>
          <w:szCs w:val="23"/>
        </w:rPr>
        <w:br/>
      </w:r>
      <w:r w:rsidRPr="006E5F99">
        <w:rPr>
          <w:rFonts w:ascii="Arial" w:eastAsia="Times New Roman" w:hAnsi="Arial" w:cs="Times New Roman"/>
          <w:color w:val="373A3C"/>
          <w:sz w:val="23"/>
          <w:szCs w:val="23"/>
        </w:rPr>
        <w:br/>
        <w:t xml:space="preserve">Samuels, ER., &amp; </w:t>
      </w:r>
      <w:proofErr w:type="spellStart"/>
      <w:r w:rsidRPr="006E5F99">
        <w:rPr>
          <w:rFonts w:ascii="Arial" w:eastAsia="Times New Roman" w:hAnsi="Arial" w:cs="Times New Roman"/>
          <w:color w:val="373A3C"/>
          <w:sz w:val="23"/>
          <w:szCs w:val="23"/>
        </w:rPr>
        <w:t>Sevrioukova</w:t>
      </w:r>
      <w:proofErr w:type="spellEnd"/>
      <w:r w:rsidRPr="006E5F99">
        <w:rPr>
          <w:rFonts w:ascii="Arial" w:eastAsia="Times New Roman" w:hAnsi="Arial" w:cs="Times New Roman"/>
          <w:color w:val="373A3C"/>
          <w:sz w:val="23"/>
          <w:szCs w:val="23"/>
        </w:rPr>
        <w:t xml:space="preserve">, I. Inhibition of Human CYP3A4 by Rationally Designed </w:t>
      </w:r>
      <w:r w:rsidRPr="006E5F99">
        <w:rPr>
          <w:rFonts w:ascii="Arial" w:eastAsia="Times New Roman" w:hAnsi="Arial" w:cs="Times New Roman"/>
          <w:color w:val="373A3C"/>
          <w:sz w:val="23"/>
          <w:szCs w:val="23"/>
        </w:rPr>
        <w:lastRenderedPageBreak/>
        <w:t xml:space="preserve">Ritonavir-Like Compounds: Impact and Interplay of the Side Group Functionalities. Mol Pharm. 2018 Jan 2;15(1):279-288. </w:t>
      </w:r>
      <w:proofErr w:type="spellStart"/>
      <w:r w:rsidRPr="006E5F99">
        <w:rPr>
          <w:rFonts w:ascii="Arial" w:eastAsia="Times New Roman" w:hAnsi="Arial" w:cs="Times New Roman"/>
          <w:color w:val="373A3C"/>
          <w:sz w:val="23"/>
          <w:szCs w:val="23"/>
        </w:rPr>
        <w:t>doi</w:t>
      </w:r>
      <w:proofErr w:type="spellEnd"/>
      <w:r w:rsidRPr="006E5F99">
        <w:rPr>
          <w:rFonts w:ascii="Arial" w:eastAsia="Times New Roman" w:hAnsi="Arial" w:cs="Times New Roman"/>
          <w:color w:val="373A3C"/>
          <w:sz w:val="23"/>
          <w:szCs w:val="23"/>
        </w:rPr>
        <w:t xml:space="preserve">: 10.1021/acs.molpharmaceut.7b00957. </w:t>
      </w:r>
      <w:proofErr w:type="spellStart"/>
      <w:r w:rsidRPr="006E5F99">
        <w:rPr>
          <w:rFonts w:ascii="Arial" w:eastAsia="Times New Roman" w:hAnsi="Arial" w:cs="Times New Roman"/>
          <w:color w:val="373A3C"/>
          <w:sz w:val="23"/>
          <w:szCs w:val="23"/>
        </w:rPr>
        <w:t>Epub</w:t>
      </w:r>
      <w:proofErr w:type="spellEnd"/>
      <w:r w:rsidRPr="006E5F99">
        <w:rPr>
          <w:rFonts w:ascii="Arial" w:eastAsia="Times New Roman" w:hAnsi="Arial" w:cs="Times New Roman"/>
          <w:color w:val="373A3C"/>
          <w:sz w:val="23"/>
          <w:szCs w:val="23"/>
        </w:rPr>
        <w:t xml:space="preserve"> 2017 Dec 12. PMID: 29232137; PMCID: PMC5859942.</w:t>
      </w:r>
    </w:p>
    <w:p w14:paraId="41C798AB" w14:textId="391AA1D9" w:rsidR="006E5F99" w:rsidRDefault="006E5F99"/>
    <w:p w14:paraId="4DBFE3D6" w14:textId="5594790F" w:rsidR="006E5F99" w:rsidRDefault="006E5F99"/>
    <w:p w14:paraId="3BF51901" w14:textId="44CD0C10" w:rsidR="006E5F99" w:rsidRDefault="006E5F99"/>
    <w:p w14:paraId="09548D58" w14:textId="0BBF200B" w:rsidR="006E5F99" w:rsidRDefault="006E5F99"/>
    <w:p w14:paraId="3E3D0CE1" w14:textId="4723E722" w:rsidR="006E5F99" w:rsidRDefault="006E5F99"/>
    <w:p w14:paraId="20CFA486" w14:textId="77777777" w:rsidR="006E5F99" w:rsidRPr="006E5F99" w:rsidRDefault="006E5F99" w:rsidP="006E5F99">
      <w:pPr>
        <w:spacing w:after="0" w:line="240" w:lineRule="auto"/>
        <w:outlineLvl w:val="2"/>
        <w:rPr>
          <w:rFonts w:ascii="Arial" w:eastAsia="Times New Roman" w:hAnsi="Arial" w:cs="Arial"/>
          <w:b/>
          <w:bCs/>
          <w:color w:val="B40000"/>
          <w:sz w:val="27"/>
          <w:szCs w:val="27"/>
        </w:rPr>
      </w:pPr>
      <w:r w:rsidRPr="006E5F99">
        <w:rPr>
          <w:rFonts w:ascii="Arial" w:eastAsia="Times New Roman" w:hAnsi="Arial" w:cs="Arial"/>
          <w:b/>
          <w:bCs/>
          <w:color w:val="B40000"/>
          <w:sz w:val="27"/>
          <w:szCs w:val="27"/>
        </w:rPr>
        <w:br/>
        <w:t>Re: Week 3 Discussion 2: Psychotropic Drugs</w:t>
      </w:r>
    </w:p>
    <w:p w14:paraId="58E7740E" w14:textId="77777777" w:rsidR="006E5F99" w:rsidRPr="006E5F99" w:rsidRDefault="006E5F99" w:rsidP="006E5F99">
      <w:pPr>
        <w:spacing w:after="0" w:line="240" w:lineRule="auto"/>
        <w:rPr>
          <w:rFonts w:ascii="Times New Roman" w:eastAsia="Times New Roman" w:hAnsi="Times New Roman" w:cs="Times New Roman"/>
          <w:sz w:val="24"/>
          <w:szCs w:val="24"/>
        </w:rPr>
      </w:pPr>
      <w:r w:rsidRPr="006E5F99">
        <w:rPr>
          <w:rFonts w:ascii="Times New Roman" w:eastAsia="Times New Roman" w:hAnsi="Times New Roman" w:cs="Times New Roman"/>
          <w:sz w:val="24"/>
          <w:szCs w:val="24"/>
        </w:rPr>
        <w:t>by </w:t>
      </w:r>
      <w:hyperlink r:id="rId5" w:history="1">
        <w:r w:rsidRPr="006E5F99">
          <w:rPr>
            <w:rFonts w:ascii="Times New Roman" w:eastAsia="Times New Roman" w:hAnsi="Times New Roman" w:cs="Times New Roman"/>
            <w:color w:val="0000FF"/>
            <w:sz w:val="24"/>
            <w:szCs w:val="24"/>
            <w:u w:val="single"/>
          </w:rPr>
          <w:t xml:space="preserve">Katarina </w:t>
        </w:r>
        <w:proofErr w:type="spellStart"/>
        <w:r w:rsidRPr="006E5F99">
          <w:rPr>
            <w:rFonts w:ascii="Times New Roman" w:eastAsia="Times New Roman" w:hAnsi="Times New Roman" w:cs="Times New Roman"/>
            <w:color w:val="0000FF"/>
            <w:sz w:val="24"/>
            <w:szCs w:val="24"/>
            <w:u w:val="single"/>
          </w:rPr>
          <w:t>Robeniol</w:t>
        </w:r>
        <w:proofErr w:type="spellEnd"/>
      </w:hyperlink>
      <w:r w:rsidRPr="006E5F99">
        <w:rPr>
          <w:rFonts w:ascii="Times New Roman" w:eastAsia="Times New Roman" w:hAnsi="Times New Roman" w:cs="Times New Roman"/>
          <w:sz w:val="24"/>
          <w:szCs w:val="24"/>
        </w:rPr>
        <w:t> - Wednesday, 18 January 2023, 11:26 PM</w:t>
      </w:r>
    </w:p>
    <w:p w14:paraId="425C32F3" w14:textId="77777777" w:rsidR="006E5F99" w:rsidRPr="006E5F99" w:rsidRDefault="006E5F99" w:rsidP="006E5F99">
      <w:pPr>
        <w:shd w:val="clear" w:color="auto" w:fill="FFFFFF"/>
        <w:spacing w:after="100" w:afterAutospacing="1" w:line="240" w:lineRule="auto"/>
        <w:rPr>
          <w:rFonts w:ascii="Arial" w:eastAsia="Times New Roman" w:hAnsi="Arial" w:cs="Arial"/>
          <w:color w:val="373A3C"/>
          <w:sz w:val="23"/>
          <w:szCs w:val="23"/>
        </w:rPr>
      </w:pPr>
      <w:r w:rsidRPr="006E5F99">
        <w:rPr>
          <w:rFonts w:ascii="Arial" w:eastAsia="Times New Roman" w:hAnsi="Arial" w:cs="Arial"/>
          <w:b/>
          <w:bCs/>
          <w:color w:val="373A3C"/>
          <w:sz w:val="23"/>
          <w:szCs w:val="23"/>
        </w:rPr>
        <w:t>Week 3 Discussion 2: Psychotropic Drug- Lurasidone</w:t>
      </w:r>
    </w:p>
    <w:p w14:paraId="661B6366" w14:textId="77777777" w:rsidR="006E5F99" w:rsidRPr="006E5F99" w:rsidRDefault="006E5F99" w:rsidP="006E5F99">
      <w:pPr>
        <w:shd w:val="clear" w:color="auto" w:fill="FFFFFF"/>
        <w:spacing w:after="100" w:afterAutospacing="1" w:line="240" w:lineRule="auto"/>
        <w:rPr>
          <w:rFonts w:ascii="Arial" w:eastAsia="Times New Roman" w:hAnsi="Arial" w:cs="Arial"/>
          <w:color w:val="373A3C"/>
          <w:sz w:val="23"/>
          <w:szCs w:val="23"/>
        </w:rPr>
      </w:pPr>
      <w:r w:rsidRPr="006E5F99">
        <w:rPr>
          <w:rFonts w:ascii="Arial" w:eastAsia="Times New Roman" w:hAnsi="Arial" w:cs="Arial"/>
          <w:color w:val="373A3C"/>
          <w:sz w:val="23"/>
          <w:szCs w:val="23"/>
        </w:rPr>
        <w:t xml:space="preserve">     For this assignment, my psychotropic drug of focus that is metabolized by CYP450 enzymes will be lurasidone, commonly known as Latuda. This medication is a second-generation antipsychotic, also referred to as an atypical antipsychotic (Lexicomp, 2023). Lurasidone is indicated for schizophrenia in adolescents and adults, as well as for depressive episodes associated with </w:t>
      </w:r>
      <w:proofErr w:type="gramStart"/>
      <w:r w:rsidRPr="006E5F99">
        <w:rPr>
          <w:rFonts w:ascii="Arial" w:eastAsia="Times New Roman" w:hAnsi="Arial" w:cs="Arial"/>
          <w:color w:val="373A3C"/>
          <w:sz w:val="23"/>
          <w:szCs w:val="23"/>
        </w:rPr>
        <w:t>bipolar</w:t>
      </w:r>
      <w:proofErr w:type="gramEnd"/>
      <w:r w:rsidRPr="006E5F99">
        <w:rPr>
          <w:rFonts w:ascii="Arial" w:eastAsia="Times New Roman" w:hAnsi="Arial" w:cs="Arial"/>
          <w:color w:val="373A3C"/>
          <w:sz w:val="23"/>
          <w:szCs w:val="23"/>
        </w:rPr>
        <w:t xml:space="preserve"> I disorder (Lexicomp, 2023). Common side effects include sleepiness, nausea, and uncontrollable body movements (Lexicomp, 2023). Some precautions in taking this medication are risk for falls due to orthostatic hypotension, potential for altered cardiac conduction, neuroleptic malignant syndrome, and tardive dyskinesia (Lexicomp, 2023).  Antipsychotics are known to put patients at risk for dyslipidemia, so symptoms of hyperglycemia and weight gain should be monitored (Lexicomp, 2023).  Additionally, this medication should not be stopped abruptly to minimize risk of withdrawal symptoms which can include agitation or insomnia (</w:t>
      </w:r>
      <w:proofErr w:type="spellStart"/>
      <w:r w:rsidRPr="006E5F99">
        <w:rPr>
          <w:rFonts w:ascii="Arial" w:eastAsia="Times New Roman" w:hAnsi="Arial" w:cs="Arial"/>
          <w:color w:val="373A3C"/>
          <w:sz w:val="23"/>
          <w:szCs w:val="23"/>
        </w:rPr>
        <w:t>Fiorillo</w:t>
      </w:r>
      <w:proofErr w:type="spellEnd"/>
      <w:r w:rsidRPr="006E5F99">
        <w:rPr>
          <w:rFonts w:ascii="Arial" w:eastAsia="Times New Roman" w:hAnsi="Arial" w:cs="Arial"/>
          <w:color w:val="373A3C"/>
          <w:sz w:val="23"/>
          <w:szCs w:val="23"/>
        </w:rPr>
        <w:t xml:space="preserve"> et al., 2022). Overdose potential is low, with one documented study of a patient ingesting 560mg of Latuda with complete recovery without complications (Lexicomp, 2023).</w:t>
      </w:r>
    </w:p>
    <w:p w14:paraId="43C13910" w14:textId="77777777" w:rsidR="006E5F99" w:rsidRPr="006E5F99" w:rsidRDefault="006E5F99" w:rsidP="006E5F99">
      <w:pPr>
        <w:shd w:val="clear" w:color="auto" w:fill="FFFFFF"/>
        <w:spacing w:after="100" w:afterAutospacing="1" w:line="240" w:lineRule="auto"/>
        <w:rPr>
          <w:rFonts w:ascii="Arial" w:eastAsia="Times New Roman" w:hAnsi="Arial" w:cs="Arial"/>
          <w:color w:val="373A3C"/>
          <w:sz w:val="23"/>
          <w:szCs w:val="23"/>
        </w:rPr>
      </w:pPr>
      <w:r w:rsidRPr="006E5F99">
        <w:rPr>
          <w:rFonts w:ascii="Arial" w:eastAsia="Times New Roman" w:hAnsi="Arial" w:cs="Arial"/>
          <w:color w:val="373A3C"/>
          <w:sz w:val="23"/>
          <w:szCs w:val="23"/>
        </w:rPr>
        <w:t>     In terms of interactions, lurasidone is advised to be taken with food amounting to at least 350 calories to aid with absorption and boost its efficacy (Lexicomp, 2023). Major drug interactions with lurasidone occur with the use of CYP3A4 inhibitors and inducers. As a result, if this drug is prescribed in the presence of a CYP3A4 inhibitor, the serum concentration may increase and vice versa with an inducer. A hypothesis for the outcome in prescribing lurasidone with a CYP3A4 inhibitor would be an increase in the side effect profile, which can include tremors, drowsiness/somnolence, and nausea. If the medication is prescribed in the presence of a CYP3A4 inducer, any improvement in symptoms with cognition, for example, would be diminished.</w:t>
      </w:r>
    </w:p>
    <w:p w14:paraId="66B70210" w14:textId="77777777" w:rsidR="006E5F99" w:rsidRPr="006E5F99" w:rsidRDefault="006E5F99" w:rsidP="006E5F99">
      <w:pPr>
        <w:shd w:val="clear" w:color="auto" w:fill="FFFFFF"/>
        <w:spacing w:after="100" w:afterAutospacing="1" w:line="240" w:lineRule="auto"/>
        <w:rPr>
          <w:rFonts w:ascii="Arial" w:eastAsia="Times New Roman" w:hAnsi="Arial" w:cs="Arial"/>
          <w:color w:val="373A3C"/>
          <w:sz w:val="23"/>
          <w:szCs w:val="23"/>
        </w:rPr>
      </w:pPr>
      <w:r w:rsidRPr="006E5F99">
        <w:rPr>
          <w:rFonts w:ascii="Arial" w:eastAsia="Times New Roman" w:hAnsi="Arial" w:cs="Arial"/>
          <w:color w:val="373A3C"/>
          <w:sz w:val="23"/>
          <w:szCs w:val="23"/>
        </w:rPr>
        <w:t xml:space="preserve">     Lurasidone is a substrate for CYP3A4 enzyme. Drugs that will inhibit and induce this drug include ketoconazole, ritonavir, clarithromycin and </w:t>
      </w:r>
      <w:proofErr w:type="gramStart"/>
      <w:r w:rsidRPr="006E5F99">
        <w:rPr>
          <w:rFonts w:ascii="Arial" w:eastAsia="Times New Roman" w:hAnsi="Arial" w:cs="Arial"/>
          <w:color w:val="373A3C"/>
          <w:sz w:val="23"/>
          <w:szCs w:val="23"/>
        </w:rPr>
        <w:t>mibefradil(</w:t>
      </w:r>
      <w:proofErr w:type="gramEnd"/>
      <w:r w:rsidRPr="006E5F99">
        <w:rPr>
          <w:rFonts w:ascii="Arial" w:eastAsia="Times New Roman" w:hAnsi="Arial" w:cs="Arial"/>
          <w:color w:val="373A3C"/>
          <w:sz w:val="23"/>
          <w:szCs w:val="23"/>
        </w:rPr>
        <w:t xml:space="preserve">Lexicomp, 2023). Inhibitors will increase the side effects of lurasidone such as drowsiness, headaches, dizziness, and even akathisia or </w:t>
      </w:r>
      <w:proofErr w:type="spellStart"/>
      <w:r w:rsidRPr="006E5F99">
        <w:rPr>
          <w:rFonts w:ascii="Arial" w:eastAsia="Times New Roman" w:hAnsi="Arial" w:cs="Arial"/>
          <w:color w:val="373A3C"/>
          <w:sz w:val="23"/>
          <w:szCs w:val="23"/>
        </w:rPr>
        <w:t>parkinson</w:t>
      </w:r>
      <w:proofErr w:type="spellEnd"/>
      <w:r w:rsidRPr="006E5F99">
        <w:rPr>
          <w:rFonts w:ascii="Arial" w:eastAsia="Times New Roman" w:hAnsi="Arial" w:cs="Arial"/>
          <w:color w:val="373A3C"/>
          <w:sz w:val="23"/>
          <w:szCs w:val="23"/>
        </w:rPr>
        <w:t xml:space="preserve">-like symptoms (Lexicomp, 2023). Inducers include rifampin, phenytoin, carbamazepine, and even St. John's wort. Because inducers </w:t>
      </w:r>
      <w:r w:rsidRPr="006E5F99">
        <w:rPr>
          <w:rFonts w:ascii="Arial" w:eastAsia="Times New Roman" w:hAnsi="Arial" w:cs="Arial"/>
          <w:color w:val="373A3C"/>
          <w:sz w:val="23"/>
          <w:szCs w:val="23"/>
        </w:rPr>
        <w:lastRenderedPageBreak/>
        <w:t>increase the metabolization of the medication, lurasidone will not be effective in managing symptoms of schizophrenia or the depressive symptoms in bipolar disorder.</w:t>
      </w:r>
    </w:p>
    <w:p w14:paraId="15D70532" w14:textId="77777777" w:rsidR="006E5F99" w:rsidRPr="006E5F99" w:rsidRDefault="006E5F99" w:rsidP="006E5F99">
      <w:pPr>
        <w:shd w:val="clear" w:color="auto" w:fill="FFFFFF"/>
        <w:spacing w:after="100" w:afterAutospacing="1" w:line="240" w:lineRule="auto"/>
        <w:rPr>
          <w:rFonts w:ascii="Arial" w:eastAsia="Times New Roman" w:hAnsi="Arial" w:cs="Arial"/>
          <w:color w:val="373A3C"/>
          <w:sz w:val="23"/>
          <w:szCs w:val="23"/>
        </w:rPr>
      </w:pPr>
      <w:r w:rsidRPr="006E5F99">
        <w:rPr>
          <w:rFonts w:ascii="Arial" w:eastAsia="Times New Roman" w:hAnsi="Arial" w:cs="Arial"/>
          <w:color w:val="373A3C"/>
          <w:sz w:val="23"/>
          <w:szCs w:val="23"/>
        </w:rPr>
        <w:t>     The pharmacokinetic considerations for this medication are unique. Lurasidone reaches its peak serum concentration between 1 to 3 hours (</w:t>
      </w:r>
      <w:proofErr w:type="spellStart"/>
      <w:r w:rsidRPr="006E5F99">
        <w:rPr>
          <w:rFonts w:ascii="Arial" w:eastAsia="Times New Roman" w:hAnsi="Arial" w:cs="Arial"/>
          <w:color w:val="373A3C"/>
          <w:sz w:val="23"/>
          <w:szCs w:val="23"/>
        </w:rPr>
        <w:t>Corponi</w:t>
      </w:r>
      <w:proofErr w:type="spellEnd"/>
      <w:r w:rsidRPr="006E5F99">
        <w:rPr>
          <w:rFonts w:ascii="Arial" w:eastAsia="Times New Roman" w:hAnsi="Arial" w:cs="Arial"/>
          <w:color w:val="373A3C"/>
          <w:sz w:val="23"/>
          <w:szCs w:val="23"/>
        </w:rPr>
        <w:t xml:space="preserve"> et al., 2019). The volume distribution is 6173 L and is also highly protein-bound (greater than 99%), which can lead to drug-drug interactions with other protein bound drugs (</w:t>
      </w:r>
      <w:proofErr w:type="spellStart"/>
      <w:r w:rsidRPr="006E5F99">
        <w:rPr>
          <w:rFonts w:ascii="Arial" w:eastAsia="Times New Roman" w:hAnsi="Arial" w:cs="Arial"/>
          <w:color w:val="373A3C"/>
          <w:sz w:val="23"/>
          <w:szCs w:val="23"/>
        </w:rPr>
        <w:t>Corponi</w:t>
      </w:r>
      <w:proofErr w:type="spellEnd"/>
      <w:r w:rsidRPr="006E5F99">
        <w:rPr>
          <w:rFonts w:ascii="Arial" w:eastAsia="Times New Roman" w:hAnsi="Arial" w:cs="Arial"/>
          <w:color w:val="373A3C"/>
          <w:sz w:val="23"/>
          <w:szCs w:val="23"/>
        </w:rPr>
        <w:t xml:space="preserve"> et al., 2019). The bioavailability is between 9 to 19%, meaning 9 to 19% of lurasidone is absorbed per dose administered (</w:t>
      </w:r>
      <w:proofErr w:type="spellStart"/>
      <w:r w:rsidRPr="006E5F99">
        <w:rPr>
          <w:rFonts w:ascii="Arial" w:eastAsia="Times New Roman" w:hAnsi="Arial" w:cs="Arial"/>
          <w:color w:val="373A3C"/>
          <w:sz w:val="23"/>
          <w:szCs w:val="23"/>
        </w:rPr>
        <w:t>Corponi</w:t>
      </w:r>
      <w:proofErr w:type="spellEnd"/>
      <w:r w:rsidRPr="006E5F99">
        <w:rPr>
          <w:rFonts w:ascii="Arial" w:eastAsia="Times New Roman" w:hAnsi="Arial" w:cs="Arial"/>
          <w:color w:val="373A3C"/>
          <w:sz w:val="23"/>
          <w:szCs w:val="23"/>
        </w:rPr>
        <w:t xml:space="preserve"> et al., 2019). Also, the bioavailability increases 2-fold when taken with food containing at least 350 calories (</w:t>
      </w:r>
      <w:proofErr w:type="spellStart"/>
      <w:r w:rsidRPr="006E5F99">
        <w:rPr>
          <w:rFonts w:ascii="Arial" w:eastAsia="Times New Roman" w:hAnsi="Arial" w:cs="Arial"/>
          <w:color w:val="373A3C"/>
          <w:sz w:val="23"/>
          <w:szCs w:val="23"/>
        </w:rPr>
        <w:t>Corponi</w:t>
      </w:r>
      <w:proofErr w:type="spellEnd"/>
      <w:r w:rsidRPr="006E5F99">
        <w:rPr>
          <w:rFonts w:ascii="Arial" w:eastAsia="Times New Roman" w:hAnsi="Arial" w:cs="Arial"/>
          <w:color w:val="373A3C"/>
          <w:sz w:val="23"/>
          <w:szCs w:val="23"/>
        </w:rPr>
        <w:t xml:space="preserve"> et al., 2019). Important to note with dietary considerations is that grapefruit juice must be avoided, as it functions as an inhibitor for the CYP3A4 enzyme (Lexicomp, 2023). Lastly, dosing instructions for lurasidone are advised for once daily in the evening. This is to help with any sedation or EPS that may occur in the patient (Patil &amp; Schwartz, 2018).</w:t>
      </w:r>
    </w:p>
    <w:p w14:paraId="74EEF96C" w14:textId="77777777" w:rsidR="006E5F99" w:rsidRPr="006E5F99" w:rsidRDefault="006E5F99" w:rsidP="006E5F99">
      <w:pPr>
        <w:shd w:val="clear" w:color="auto" w:fill="FFFFFF"/>
        <w:spacing w:after="100" w:afterAutospacing="1" w:line="240" w:lineRule="auto"/>
        <w:jc w:val="center"/>
        <w:rPr>
          <w:rFonts w:ascii="Arial" w:eastAsia="Times New Roman" w:hAnsi="Arial" w:cs="Arial"/>
          <w:color w:val="373A3C"/>
          <w:sz w:val="23"/>
          <w:szCs w:val="23"/>
        </w:rPr>
      </w:pPr>
      <w:r w:rsidRPr="006E5F99">
        <w:rPr>
          <w:rFonts w:ascii="Arial" w:eastAsia="Times New Roman" w:hAnsi="Arial" w:cs="Arial"/>
          <w:b/>
          <w:bCs/>
          <w:color w:val="373A3C"/>
          <w:sz w:val="23"/>
          <w:szCs w:val="23"/>
        </w:rPr>
        <w:t>References</w:t>
      </w:r>
    </w:p>
    <w:p w14:paraId="0EE38F29" w14:textId="77777777" w:rsidR="006E5F99" w:rsidRPr="006E5F99" w:rsidRDefault="006E5F99" w:rsidP="006E5F99">
      <w:pPr>
        <w:shd w:val="clear" w:color="auto" w:fill="FFFFFF"/>
        <w:spacing w:after="100" w:afterAutospacing="1" w:line="240" w:lineRule="auto"/>
        <w:rPr>
          <w:rFonts w:ascii="Arial" w:eastAsia="Times New Roman" w:hAnsi="Arial" w:cs="Arial"/>
          <w:color w:val="373A3C"/>
          <w:sz w:val="23"/>
          <w:szCs w:val="23"/>
        </w:rPr>
      </w:pPr>
      <w:proofErr w:type="spellStart"/>
      <w:r w:rsidRPr="006E5F99">
        <w:rPr>
          <w:rFonts w:ascii="Arial" w:eastAsia="Times New Roman" w:hAnsi="Arial" w:cs="Arial"/>
          <w:color w:val="373A3C"/>
          <w:sz w:val="23"/>
          <w:szCs w:val="23"/>
        </w:rPr>
        <w:t>Corponi</w:t>
      </w:r>
      <w:proofErr w:type="spellEnd"/>
      <w:r w:rsidRPr="006E5F99">
        <w:rPr>
          <w:rFonts w:ascii="Arial" w:eastAsia="Times New Roman" w:hAnsi="Arial" w:cs="Arial"/>
          <w:color w:val="373A3C"/>
          <w:sz w:val="23"/>
          <w:szCs w:val="23"/>
        </w:rPr>
        <w:t xml:space="preserve">, F., </w:t>
      </w:r>
      <w:proofErr w:type="spellStart"/>
      <w:r w:rsidRPr="006E5F99">
        <w:rPr>
          <w:rFonts w:ascii="Arial" w:eastAsia="Times New Roman" w:hAnsi="Arial" w:cs="Arial"/>
          <w:color w:val="373A3C"/>
          <w:sz w:val="23"/>
          <w:szCs w:val="23"/>
        </w:rPr>
        <w:t>Fabbri</w:t>
      </w:r>
      <w:proofErr w:type="spellEnd"/>
      <w:r w:rsidRPr="006E5F99">
        <w:rPr>
          <w:rFonts w:ascii="Arial" w:eastAsia="Times New Roman" w:hAnsi="Arial" w:cs="Arial"/>
          <w:color w:val="373A3C"/>
          <w:sz w:val="23"/>
          <w:szCs w:val="23"/>
        </w:rPr>
        <w:t xml:space="preserve">, C., Bitter, I., Montgomery, S., Vieta, E., Kasper, S., </w:t>
      </w:r>
      <w:proofErr w:type="spellStart"/>
      <w:r w:rsidRPr="006E5F99">
        <w:rPr>
          <w:rFonts w:ascii="Arial" w:eastAsia="Times New Roman" w:hAnsi="Arial" w:cs="Arial"/>
          <w:color w:val="373A3C"/>
          <w:sz w:val="23"/>
          <w:szCs w:val="23"/>
        </w:rPr>
        <w:t>Pallanti</w:t>
      </w:r>
      <w:proofErr w:type="spellEnd"/>
      <w:r w:rsidRPr="006E5F99">
        <w:rPr>
          <w:rFonts w:ascii="Arial" w:eastAsia="Times New Roman" w:hAnsi="Arial" w:cs="Arial"/>
          <w:color w:val="373A3C"/>
          <w:sz w:val="23"/>
          <w:szCs w:val="23"/>
        </w:rPr>
        <w:t xml:space="preserve">, S., &amp; </w:t>
      </w:r>
      <w:proofErr w:type="spellStart"/>
      <w:r w:rsidRPr="006E5F99">
        <w:rPr>
          <w:rFonts w:ascii="Arial" w:eastAsia="Times New Roman" w:hAnsi="Arial" w:cs="Arial"/>
          <w:color w:val="373A3C"/>
          <w:sz w:val="23"/>
          <w:szCs w:val="23"/>
        </w:rPr>
        <w:t>Serretti</w:t>
      </w:r>
      <w:proofErr w:type="spellEnd"/>
      <w:r w:rsidRPr="006E5F99">
        <w:rPr>
          <w:rFonts w:ascii="Arial" w:eastAsia="Times New Roman" w:hAnsi="Arial" w:cs="Arial"/>
          <w:color w:val="373A3C"/>
          <w:sz w:val="23"/>
          <w:szCs w:val="23"/>
        </w:rPr>
        <w:t xml:space="preserve">, A. (2019). Novel antipsychotics specificity profile: A clinically oriented review of lurasidone, </w:t>
      </w:r>
      <w:proofErr w:type="spellStart"/>
      <w:r w:rsidRPr="006E5F99">
        <w:rPr>
          <w:rFonts w:ascii="Arial" w:eastAsia="Times New Roman" w:hAnsi="Arial" w:cs="Arial"/>
          <w:color w:val="373A3C"/>
          <w:sz w:val="23"/>
          <w:szCs w:val="23"/>
        </w:rPr>
        <w:t>brexpiprazole</w:t>
      </w:r>
      <w:proofErr w:type="spellEnd"/>
      <w:r w:rsidRPr="006E5F99">
        <w:rPr>
          <w:rFonts w:ascii="Arial" w:eastAsia="Times New Roman" w:hAnsi="Arial" w:cs="Arial"/>
          <w:color w:val="373A3C"/>
          <w:sz w:val="23"/>
          <w:szCs w:val="23"/>
        </w:rPr>
        <w:t xml:space="preserve">, </w:t>
      </w:r>
      <w:proofErr w:type="spellStart"/>
      <w:r w:rsidRPr="006E5F99">
        <w:rPr>
          <w:rFonts w:ascii="Arial" w:eastAsia="Times New Roman" w:hAnsi="Arial" w:cs="Arial"/>
          <w:color w:val="373A3C"/>
          <w:sz w:val="23"/>
          <w:szCs w:val="23"/>
        </w:rPr>
        <w:t>cariprazine</w:t>
      </w:r>
      <w:proofErr w:type="spellEnd"/>
      <w:r w:rsidRPr="006E5F99">
        <w:rPr>
          <w:rFonts w:ascii="Arial" w:eastAsia="Times New Roman" w:hAnsi="Arial" w:cs="Arial"/>
          <w:color w:val="373A3C"/>
          <w:sz w:val="23"/>
          <w:szCs w:val="23"/>
        </w:rPr>
        <w:t xml:space="preserve"> and </w:t>
      </w:r>
      <w:proofErr w:type="spellStart"/>
      <w:r w:rsidRPr="006E5F99">
        <w:rPr>
          <w:rFonts w:ascii="Arial" w:eastAsia="Times New Roman" w:hAnsi="Arial" w:cs="Arial"/>
          <w:color w:val="373A3C"/>
          <w:sz w:val="23"/>
          <w:szCs w:val="23"/>
        </w:rPr>
        <w:t>lumateperone</w:t>
      </w:r>
      <w:proofErr w:type="spellEnd"/>
      <w:r w:rsidRPr="006E5F99">
        <w:rPr>
          <w:rFonts w:ascii="Arial" w:eastAsia="Times New Roman" w:hAnsi="Arial" w:cs="Arial"/>
          <w:color w:val="373A3C"/>
          <w:sz w:val="23"/>
          <w:szCs w:val="23"/>
        </w:rPr>
        <w:t>. </w:t>
      </w:r>
      <w:r w:rsidRPr="006E5F99">
        <w:rPr>
          <w:rFonts w:ascii="Arial" w:eastAsia="Times New Roman" w:hAnsi="Arial" w:cs="Arial"/>
          <w:i/>
          <w:iCs/>
          <w:color w:val="373A3C"/>
          <w:sz w:val="23"/>
          <w:szCs w:val="23"/>
        </w:rPr>
        <w:t>European Neuropsychopharmacology, 29</w:t>
      </w:r>
      <w:r w:rsidRPr="006E5F99">
        <w:rPr>
          <w:rFonts w:ascii="Arial" w:eastAsia="Times New Roman" w:hAnsi="Arial" w:cs="Arial"/>
          <w:color w:val="373A3C"/>
          <w:sz w:val="23"/>
          <w:szCs w:val="23"/>
        </w:rPr>
        <w:t>(9), 971-985. https://doi.org/10.1016/j.euroneuro.2019.06.008</w:t>
      </w:r>
    </w:p>
    <w:p w14:paraId="4AF7D32A" w14:textId="77777777" w:rsidR="006E5F99" w:rsidRPr="006E5F99" w:rsidRDefault="006E5F99" w:rsidP="006E5F99">
      <w:pPr>
        <w:shd w:val="clear" w:color="auto" w:fill="FFFFFF"/>
        <w:spacing w:after="100" w:afterAutospacing="1" w:line="240" w:lineRule="auto"/>
        <w:rPr>
          <w:rFonts w:ascii="Arial" w:eastAsia="Times New Roman" w:hAnsi="Arial" w:cs="Arial"/>
          <w:color w:val="373A3C"/>
          <w:sz w:val="23"/>
          <w:szCs w:val="23"/>
        </w:rPr>
      </w:pPr>
      <w:proofErr w:type="spellStart"/>
      <w:r w:rsidRPr="006E5F99">
        <w:rPr>
          <w:rFonts w:ascii="Arial" w:eastAsia="Times New Roman" w:hAnsi="Arial" w:cs="Arial"/>
          <w:color w:val="373A3C"/>
          <w:sz w:val="23"/>
          <w:szCs w:val="23"/>
        </w:rPr>
        <w:t>Fiorillo</w:t>
      </w:r>
      <w:proofErr w:type="spellEnd"/>
      <w:r w:rsidRPr="006E5F99">
        <w:rPr>
          <w:rFonts w:ascii="Arial" w:eastAsia="Times New Roman" w:hAnsi="Arial" w:cs="Arial"/>
          <w:color w:val="373A3C"/>
          <w:sz w:val="23"/>
          <w:szCs w:val="23"/>
        </w:rPr>
        <w:t xml:space="preserve">, A., Cuomo, A., </w:t>
      </w:r>
      <w:proofErr w:type="spellStart"/>
      <w:r w:rsidRPr="006E5F99">
        <w:rPr>
          <w:rFonts w:ascii="Arial" w:eastAsia="Times New Roman" w:hAnsi="Arial" w:cs="Arial"/>
          <w:color w:val="373A3C"/>
          <w:sz w:val="23"/>
          <w:szCs w:val="23"/>
        </w:rPr>
        <w:t>Sampogna</w:t>
      </w:r>
      <w:proofErr w:type="spellEnd"/>
      <w:r w:rsidRPr="006E5F99">
        <w:rPr>
          <w:rFonts w:ascii="Arial" w:eastAsia="Times New Roman" w:hAnsi="Arial" w:cs="Arial"/>
          <w:color w:val="373A3C"/>
          <w:sz w:val="23"/>
          <w:szCs w:val="23"/>
        </w:rPr>
        <w:t xml:space="preserve">, G., Albert, U., </w:t>
      </w:r>
      <w:proofErr w:type="spellStart"/>
      <w:r w:rsidRPr="006E5F99">
        <w:rPr>
          <w:rFonts w:ascii="Arial" w:eastAsia="Times New Roman" w:hAnsi="Arial" w:cs="Arial"/>
          <w:color w:val="373A3C"/>
          <w:sz w:val="23"/>
          <w:szCs w:val="23"/>
        </w:rPr>
        <w:t>Calò</w:t>
      </w:r>
      <w:proofErr w:type="spellEnd"/>
      <w:r w:rsidRPr="006E5F99">
        <w:rPr>
          <w:rFonts w:ascii="Arial" w:eastAsia="Times New Roman" w:hAnsi="Arial" w:cs="Arial"/>
          <w:color w:val="373A3C"/>
          <w:sz w:val="23"/>
          <w:szCs w:val="23"/>
        </w:rPr>
        <w:t xml:space="preserve">, P., </w:t>
      </w:r>
      <w:proofErr w:type="spellStart"/>
      <w:r w:rsidRPr="006E5F99">
        <w:rPr>
          <w:rFonts w:ascii="Arial" w:eastAsia="Times New Roman" w:hAnsi="Arial" w:cs="Arial"/>
          <w:color w:val="373A3C"/>
          <w:sz w:val="23"/>
          <w:szCs w:val="23"/>
        </w:rPr>
        <w:t>Cerveri</w:t>
      </w:r>
      <w:proofErr w:type="spellEnd"/>
      <w:r w:rsidRPr="006E5F99">
        <w:rPr>
          <w:rFonts w:ascii="Arial" w:eastAsia="Times New Roman" w:hAnsi="Arial" w:cs="Arial"/>
          <w:color w:val="373A3C"/>
          <w:sz w:val="23"/>
          <w:szCs w:val="23"/>
        </w:rPr>
        <w:t xml:space="preserve">, G., </w:t>
      </w:r>
      <w:proofErr w:type="spellStart"/>
      <w:r w:rsidRPr="006E5F99">
        <w:rPr>
          <w:rFonts w:ascii="Arial" w:eastAsia="Times New Roman" w:hAnsi="Arial" w:cs="Arial"/>
          <w:color w:val="373A3C"/>
          <w:sz w:val="23"/>
          <w:szCs w:val="23"/>
        </w:rPr>
        <w:t>Masi</w:t>
      </w:r>
      <w:proofErr w:type="spellEnd"/>
      <w:r w:rsidRPr="006E5F99">
        <w:rPr>
          <w:rFonts w:ascii="Arial" w:eastAsia="Times New Roman" w:hAnsi="Arial" w:cs="Arial"/>
          <w:color w:val="373A3C"/>
          <w:sz w:val="23"/>
          <w:szCs w:val="23"/>
        </w:rPr>
        <w:t xml:space="preserve">, G., </w:t>
      </w:r>
      <w:proofErr w:type="spellStart"/>
      <w:r w:rsidRPr="006E5F99">
        <w:rPr>
          <w:rFonts w:ascii="Arial" w:eastAsia="Times New Roman" w:hAnsi="Arial" w:cs="Arial"/>
          <w:color w:val="373A3C"/>
          <w:sz w:val="23"/>
          <w:szCs w:val="23"/>
        </w:rPr>
        <w:t>Pompili</w:t>
      </w:r>
      <w:proofErr w:type="spellEnd"/>
      <w:r w:rsidRPr="006E5F99">
        <w:rPr>
          <w:rFonts w:ascii="Arial" w:eastAsia="Times New Roman" w:hAnsi="Arial" w:cs="Arial"/>
          <w:color w:val="373A3C"/>
          <w:sz w:val="23"/>
          <w:szCs w:val="23"/>
        </w:rPr>
        <w:t xml:space="preserve">, M., Serafini, G., Vita, A., </w:t>
      </w:r>
      <w:proofErr w:type="spellStart"/>
      <w:r w:rsidRPr="006E5F99">
        <w:rPr>
          <w:rFonts w:ascii="Arial" w:eastAsia="Times New Roman" w:hAnsi="Arial" w:cs="Arial"/>
          <w:color w:val="373A3C"/>
          <w:sz w:val="23"/>
          <w:szCs w:val="23"/>
        </w:rPr>
        <w:t>Zuddas</w:t>
      </w:r>
      <w:proofErr w:type="spellEnd"/>
      <w:r w:rsidRPr="006E5F99">
        <w:rPr>
          <w:rFonts w:ascii="Arial" w:eastAsia="Times New Roman" w:hAnsi="Arial" w:cs="Arial"/>
          <w:color w:val="373A3C"/>
          <w:sz w:val="23"/>
          <w:szCs w:val="23"/>
        </w:rPr>
        <w:t xml:space="preserve">, A., &amp; </w:t>
      </w:r>
      <w:proofErr w:type="spellStart"/>
      <w:r w:rsidRPr="006E5F99">
        <w:rPr>
          <w:rFonts w:ascii="Arial" w:eastAsia="Times New Roman" w:hAnsi="Arial" w:cs="Arial"/>
          <w:color w:val="373A3C"/>
          <w:sz w:val="23"/>
          <w:szCs w:val="23"/>
        </w:rPr>
        <w:t>Fagiolini</w:t>
      </w:r>
      <w:proofErr w:type="spellEnd"/>
      <w:r w:rsidRPr="006E5F99">
        <w:rPr>
          <w:rFonts w:ascii="Arial" w:eastAsia="Times New Roman" w:hAnsi="Arial" w:cs="Arial"/>
          <w:color w:val="373A3C"/>
          <w:sz w:val="23"/>
          <w:szCs w:val="23"/>
        </w:rPr>
        <w:t>, A. (2022). Lurasidone in adolescents and adults with schizophrenia: from clinical trials to real-world clinical practice. </w:t>
      </w:r>
      <w:r w:rsidRPr="006E5F99">
        <w:rPr>
          <w:rFonts w:ascii="Arial" w:eastAsia="Times New Roman" w:hAnsi="Arial" w:cs="Arial"/>
          <w:i/>
          <w:iCs/>
          <w:color w:val="373A3C"/>
          <w:sz w:val="23"/>
          <w:szCs w:val="23"/>
        </w:rPr>
        <w:t>Expert Opinion on Pharmacotherapy</w:t>
      </w:r>
      <w:r w:rsidRPr="006E5F99">
        <w:rPr>
          <w:rFonts w:ascii="Arial" w:eastAsia="Times New Roman" w:hAnsi="Arial" w:cs="Arial"/>
          <w:color w:val="373A3C"/>
          <w:sz w:val="23"/>
          <w:szCs w:val="23"/>
        </w:rPr>
        <w:t>, </w:t>
      </w:r>
      <w:r w:rsidRPr="006E5F99">
        <w:rPr>
          <w:rFonts w:ascii="Arial" w:eastAsia="Times New Roman" w:hAnsi="Arial" w:cs="Arial"/>
          <w:i/>
          <w:iCs/>
          <w:color w:val="373A3C"/>
          <w:sz w:val="23"/>
          <w:szCs w:val="23"/>
        </w:rPr>
        <w:t>23</w:t>
      </w:r>
      <w:r w:rsidRPr="006E5F99">
        <w:rPr>
          <w:rFonts w:ascii="Arial" w:eastAsia="Times New Roman" w:hAnsi="Arial" w:cs="Arial"/>
          <w:color w:val="373A3C"/>
          <w:sz w:val="23"/>
          <w:szCs w:val="23"/>
        </w:rPr>
        <w:t>(16), 1801-1818. https://doi.org/10.1080/14656566.2022.2141568</w:t>
      </w:r>
    </w:p>
    <w:p w14:paraId="206CBFBC" w14:textId="77777777" w:rsidR="006E5F99" w:rsidRPr="006E5F99" w:rsidRDefault="006E5F99" w:rsidP="006E5F99">
      <w:pPr>
        <w:shd w:val="clear" w:color="auto" w:fill="FFFFFF"/>
        <w:spacing w:after="100" w:afterAutospacing="1" w:line="240" w:lineRule="auto"/>
        <w:rPr>
          <w:rFonts w:ascii="Arial" w:eastAsia="Times New Roman" w:hAnsi="Arial" w:cs="Arial"/>
          <w:color w:val="373A3C"/>
          <w:sz w:val="23"/>
          <w:szCs w:val="23"/>
        </w:rPr>
      </w:pPr>
      <w:r w:rsidRPr="006E5F99">
        <w:rPr>
          <w:rFonts w:ascii="Arial" w:eastAsia="Times New Roman" w:hAnsi="Arial" w:cs="Arial"/>
          <w:color w:val="373A3C"/>
          <w:sz w:val="23"/>
          <w:szCs w:val="23"/>
        </w:rPr>
        <w:t>Lexicomp. (2023). Lurasidone: Drug information. </w:t>
      </w:r>
      <w:r w:rsidRPr="006E5F99">
        <w:rPr>
          <w:rFonts w:ascii="Arial" w:eastAsia="Times New Roman" w:hAnsi="Arial" w:cs="Arial"/>
          <w:i/>
          <w:iCs/>
          <w:color w:val="373A3C"/>
          <w:sz w:val="23"/>
          <w:szCs w:val="23"/>
        </w:rPr>
        <w:t>UpToDate.</w:t>
      </w:r>
      <w:r w:rsidRPr="006E5F99">
        <w:rPr>
          <w:rFonts w:ascii="Arial" w:eastAsia="Times New Roman" w:hAnsi="Arial" w:cs="Arial"/>
          <w:color w:val="373A3C"/>
          <w:sz w:val="23"/>
          <w:szCs w:val="23"/>
        </w:rPr>
        <w:t xml:space="preserve"> Retrieved on January 18, 2023, from </w:t>
      </w:r>
      <w:proofErr w:type="gramStart"/>
      <w:r w:rsidRPr="006E5F99">
        <w:rPr>
          <w:rFonts w:ascii="Arial" w:eastAsia="Times New Roman" w:hAnsi="Arial" w:cs="Arial"/>
          <w:color w:val="373A3C"/>
          <w:sz w:val="23"/>
          <w:szCs w:val="23"/>
        </w:rPr>
        <w:t>https://www-uptodate-com.regiscollege.idm.oclc.org/contents/lurasidone-drug-information?search=lurasidone&amp;source=panel_search_result&amp;selectedTitle=1~63&amp;usage_type=panel&amp;kp_tab=drug_general&amp;display_rank=1#F11407075</w:t>
      </w:r>
      <w:proofErr w:type="gramEnd"/>
    </w:p>
    <w:p w14:paraId="07046219" w14:textId="77777777" w:rsidR="006E5F99" w:rsidRPr="006E5F99" w:rsidRDefault="006E5F99" w:rsidP="006E5F99">
      <w:pPr>
        <w:shd w:val="clear" w:color="auto" w:fill="FFFFFF"/>
        <w:spacing w:after="100" w:afterAutospacing="1" w:line="240" w:lineRule="auto"/>
        <w:rPr>
          <w:rFonts w:ascii="Arial" w:eastAsia="Times New Roman" w:hAnsi="Arial" w:cs="Arial"/>
          <w:color w:val="373A3C"/>
          <w:sz w:val="23"/>
          <w:szCs w:val="23"/>
        </w:rPr>
      </w:pPr>
      <w:r w:rsidRPr="006E5F99">
        <w:rPr>
          <w:rFonts w:ascii="Arial" w:eastAsia="Times New Roman" w:hAnsi="Arial" w:cs="Arial"/>
          <w:color w:val="373A3C"/>
          <w:sz w:val="23"/>
          <w:szCs w:val="23"/>
        </w:rPr>
        <w:t xml:space="preserve">Patil, P. &amp; Schwartz, T. L. (2018). Fine tuning the use of </w:t>
      </w:r>
      <w:proofErr w:type="gramStart"/>
      <w:r w:rsidRPr="006E5F99">
        <w:rPr>
          <w:rFonts w:ascii="Arial" w:eastAsia="Times New Roman" w:hAnsi="Arial" w:cs="Arial"/>
          <w:color w:val="373A3C"/>
          <w:sz w:val="23"/>
          <w:szCs w:val="23"/>
        </w:rPr>
        <w:t>second generation</w:t>
      </w:r>
      <w:proofErr w:type="gramEnd"/>
      <w:r w:rsidRPr="006E5F99">
        <w:rPr>
          <w:rFonts w:ascii="Arial" w:eastAsia="Times New Roman" w:hAnsi="Arial" w:cs="Arial"/>
          <w:color w:val="373A3C"/>
          <w:sz w:val="23"/>
          <w:szCs w:val="23"/>
        </w:rPr>
        <w:t xml:space="preserve"> antipsychotics. </w:t>
      </w:r>
      <w:r w:rsidRPr="006E5F99">
        <w:rPr>
          <w:rFonts w:ascii="Arial" w:eastAsia="Times New Roman" w:hAnsi="Arial" w:cs="Arial"/>
          <w:i/>
          <w:iCs/>
          <w:color w:val="373A3C"/>
          <w:sz w:val="23"/>
          <w:szCs w:val="23"/>
        </w:rPr>
        <w:t>Journal of Mental Health and Clinical Psychology, 2</w:t>
      </w:r>
      <w:r w:rsidRPr="006E5F99">
        <w:rPr>
          <w:rFonts w:ascii="Arial" w:eastAsia="Times New Roman" w:hAnsi="Arial" w:cs="Arial"/>
          <w:color w:val="373A3C"/>
          <w:sz w:val="23"/>
          <w:szCs w:val="23"/>
        </w:rPr>
        <w:t>(5), 22-39. https://doi.org/10.29245/2578-2959/2018/5.1138</w:t>
      </w:r>
    </w:p>
    <w:p w14:paraId="4766E38F" w14:textId="77777777" w:rsidR="006E5F99" w:rsidRDefault="006E5F99"/>
    <w:sectPr w:rsidR="006E5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99"/>
    <w:rsid w:val="006E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DBDB"/>
  <w15:chartTrackingRefBased/>
  <w15:docId w15:val="{7313C40C-4346-485B-BBDD-B93047D1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4319">
      <w:bodyDiv w:val="1"/>
      <w:marLeft w:val="0"/>
      <w:marRight w:val="0"/>
      <w:marTop w:val="0"/>
      <w:marBottom w:val="0"/>
      <w:divBdr>
        <w:top w:val="none" w:sz="0" w:space="0" w:color="auto"/>
        <w:left w:val="none" w:sz="0" w:space="0" w:color="auto"/>
        <w:bottom w:val="none" w:sz="0" w:space="0" w:color="auto"/>
        <w:right w:val="none" w:sz="0" w:space="0" w:color="auto"/>
      </w:divBdr>
      <w:divsChild>
        <w:div w:id="568922823">
          <w:marLeft w:val="0"/>
          <w:marRight w:val="0"/>
          <w:marTop w:val="0"/>
          <w:marBottom w:val="0"/>
          <w:divBdr>
            <w:top w:val="none" w:sz="0" w:space="0" w:color="auto"/>
            <w:left w:val="none" w:sz="0" w:space="0" w:color="auto"/>
            <w:bottom w:val="none" w:sz="0" w:space="0" w:color="auto"/>
            <w:right w:val="none" w:sz="0" w:space="0" w:color="auto"/>
          </w:divBdr>
          <w:divsChild>
            <w:div w:id="2037538403">
              <w:marLeft w:val="0"/>
              <w:marRight w:val="0"/>
              <w:marTop w:val="0"/>
              <w:marBottom w:val="0"/>
              <w:divBdr>
                <w:top w:val="none" w:sz="0" w:space="0" w:color="auto"/>
                <w:left w:val="none" w:sz="0" w:space="0" w:color="auto"/>
                <w:bottom w:val="none" w:sz="0" w:space="0" w:color="auto"/>
                <w:right w:val="none" w:sz="0" w:space="0" w:color="auto"/>
              </w:divBdr>
            </w:div>
          </w:divsChild>
        </w:div>
        <w:div w:id="1432890685">
          <w:marLeft w:val="0"/>
          <w:marRight w:val="0"/>
          <w:marTop w:val="0"/>
          <w:marBottom w:val="0"/>
          <w:divBdr>
            <w:top w:val="none" w:sz="0" w:space="0" w:color="auto"/>
            <w:left w:val="none" w:sz="0" w:space="0" w:color="auto"/>
            <w:bottom w:val="none" w:sz="0" w:space="0" w:color="auto"/>
            <w:right w:val="none" w:sz="0" w:space="0" w:color="auto"/>
          </w:divBdr>
          <w:divsChild>
            <w:div w:id="20590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08793">
      <w:bodyDiv w:val="1"/>
      <w:marLeft w:val="0"/>
      <w:marRight w:val="0"/>
      <w:marTop w:val="0"/>
      <w:marBottom w:val="0"/>
      <w:divBdr>
        <w:top w:val="none" w:sz="0" w:space="0" w:color="auto"/>
        <w:left w:val="none" w:sz="0" w:space="0" w:color="auto"/>
        <w:bottom w:val="none" w:sz="0" w:space="0" w:color="auto"/>
        <w:right w:val="none" w:sz="0" w:space="0" w:color="auto"/>
      </w:divBdr>
      <w:divsChild>
        <w:div w:id="1746566994">
          <w:marLeft w:val="0"/>
          <w:marRight w:val="0"/>
          <w:marTop w:val="0"/>
          <w:marBottom w:val="0"/>
          <w:divBdr>
            <w:top w:val="none" w:sz="0" w:space="0" w:color="auto"/>
            <w:left w:val="none" w:sz="0" w:space="0" w:color="auto"/>
            <w:bottom w:val="none" w:sz="0" w:space="0" w:color="auto"/>
            <w:right w:val="none" w:sz="0" w:space="0" w:color="auto"/>
          </w:divBdr>
          <w:divsChild>
            <w:div w:id="835801713">
              <w:marLeft w:val="0"/>
              <w:marRight w:val="0"/>
              <w:marTop w:val="0"/>
              <w:marBottom w:val="0"/>
              <w:divBdr>
                <w:top w:val="none" w:sz="0" w:space="0" w:color="auto"/>
                <w:left w:val="none" w:sz="0" w:space="0" w:color="auto"/>
                <w:bottom w:val="none" w:sz="0" w:space="0" w:color="auto"/>
                <w:right w:val="none" w:sz="0" w:space="0" w:color="auto"/>
              </w:divBdr>
            </w:div>
          </w:divsChild>
        </w:div>
        <w:div w:id="214968629">
          <w:marLeft w:val="0"/>
          <w:marRight w:val="0"/>
          <w:marTop w:val="0"/>
          <w:marBottom w:val="0"/>
          <w:divBdr>
            <w:top w:val="none" w:sz="0" w:space="0" w:color="auto"/>
            <w:left w:val="none" w:sz="0" w:space="0" w:color="auto"/>
            <w:bottom w:val="none" w:sz="0" w:space="0" w:color="auto"/>
            <w:right w:val="none" w:sz="0" w:space="0" w:color="auto"/>
          </w:divBdr>
          <w:divsChild>
            <w:div w:id="908267558">
              <w:marLeft w:val="0"/>
              <w:marRight w:val="0"/>
              <w:marTop w:val="0"/>
              <w:marBottom w:val="0"/>
              <w:divBdr>
                <w:top w:val="none" w:sz="0" w:space="0" w:color="auto"/>
                <w:left w:val="none" w:sz="0" w:space="0" w:color="auto"/>
                <w:bottom w:val="none" w:sz="0" w:space="0" w:color="auto"/>
                <w:right w:val="none" w:sz="0" w:space="0" w:color="auto"/>
              </w:divBdr>
              <w:divsChild>
                <w:div w:id="6464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5464&amp;course=4591" TargetMode="External"/><Relationship Id="rId4" Type="http://schemas.openxmlformats.org/officeDocument/2006/relationships/hyperlink" Target="https://myonline.regiscollege.edu/user/view.php?id=6274&amp;course=4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1276</Words>
  <Characters>7279</Characters>
  <Application>Microsoft Office Word</Application>
  <DocSecurity>0</DocSecurity>
  <Lines>60</Lines>
  <Paragraphs>17</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2023-01-19T09:37:00Z</dcterms:created>
  <dcterms:modified xsi:type="dcterms:W3CDTF">2023-01-19T09:37:00Z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0eff657b-db64-4088-ba09-dc0a37ad275a</vt:lpwstr>
  </property>
</Properties>
</file>