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BF" w:rsidRPr="008B47C2" w:rsidRDefault="00D1321F" w:rsidP="008B47C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7C2">
        <w:rPr>
          <w:rFonts w:ascii="Times New Roman" w:hAnsi="Times New Roman" w:cs="Times New Roman"/>
          <w:b/>
          <w:sz w:val="24"/>
          <w:szCs w:val="24"/>
        </w:rPr>
        <w:t>Response 1</w:t>
      </w:r>
    </w:p>
    <w:p w:rsidR="0076093E" w:rsidRPr="008B47C2" w:rsidRDefault="00D1321F" w:rsidP="008B47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7C2">
        <w:rPr>
          <w:rFonts w:ascii="Times New Roman" w:hAnsi="Times New Roman" w:cs="Times New Roman"/>
          <w:sz w:val="24"/>
          <w:szCs w:val="24"/>
        </w:rPr>
        <w:t>D</w:t>
      </w:r>
      <w:r w:rsidR="007C2588" w:rsidRPr="008B47C2">
        <w:rPr>
          <w:rFonts w:ascii="Times New Roman" w:hAnsi="Times New Roman" w:cs="Times New Roman"/>
          <w:sz w:val="24"/>
          <w:szCs w:val="24"/>
        </w:rPr>
        <w:t xml:space="preserve">ear </w:t>
      </w:r>
      <w:r w:rsidR="00830070" w:rsidRPr="008B47C2">
        <w:rPr>
          <w:rFonts w:ascii="Times New Roman" w:hAnsi="Times New Roman" w:cs="Times New Roman"/>
          <w:sz w:val="24"/>
          <w:szCs w:val="24"/>
        </w:rPr>
        <w:t>Elizabeth Dumas,</w:t>
      </w:r>
      <w:bookmarkStart w:id="0" w:name="_GoBack"/>
      <w:bookmarkEnd w:id="0"/>
    </w:p>
    <w:p w:rsidR="00B44BA5" w:rsidRPr="008B47C2" w:rsidRDefault="00D1321F" w:rsidP="008B47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47C2">
        <w:rPr>
          <w:rFonts w:ascii="Times New Roman" w:hAnsi="Times New Roman" w:cs="Times New Roman"/>
          <w:sz w:val="24"/>
          <w:szCs w:val="24"/>
        </w:rPr>
        <w:t xml:space="preserve">Your discussion is well-researched and demonstrates </w:t>
      </w:r>
      <w:r w:rsidR="00B46D11" w:rsidRPr="008B47C2">
        <w:rPr>
          <w:rFonts w:ascii="Times New Roman" w:hAnsi="Times New Roman" w:cs="Times New Roman"/>
          <w:sz w:val="24"/>
          <w:szCs w:val="24"/>
        </w:rPr>
        <w:t xml:space="preserve">an in-depth understanding of various aspects of pain management. </w:t>
      </w:r>
      <w:r w:rsidR="0036104F" w:rsidRPr="008B47C2">
        <w:rPr>
          <w:rFonts w:ascii="Times New Roman" w:hAnsi="Times New Roman" w:cs="Times New Roman"/>
          <w:sz w:val="24"/>
          <w:szCs w:val="24"/>
        </w:rPr>
        <w:t xml:space="preserve">First, your choice of selecting hydromorphone 8 mg orally q4h is an appropriate alternative regimen due to Jason's acute renal failure and symptoms like lethargy, confusion, and hallucination. </w:t>
      </w:r>
      <w:r w:rsidR="00717063" w:rsidRPr="008B47C2">
        <w:rPr>
          <w:rFonts w:ascii="Times New Roman" w:hAnsi="Times New Roman" w:cs="Times New Roman"/>
          <w:sz w:val="24"/>
          <w:szCs w:val="24"/>
        </w:rPr>
        <w:t>According to Colluzi et al. (2020)</w:t>
      </w:r>
      <w:r w:rsidR="00AF2087" w:rsidRPr="008B47C2">
        <w:rPr>
          <w:rFonts w:ascii="Times New Roman" w:hAnsi="Times New Roman" w:cs="Times New Roman"/>
          <w:sz w:val="24"/>
          <w:szCs w:val="24"/>
        </w:rPr>
        <w:t xml:space="preserve">, oral hydromorphone is the preferred short-acting opioid for older adults with non-dialysis chronic kidney disease. This is because it is a more tolerable alternative to morphine in older adults with chronic kidney disease. </w:t>
      </w:r>
      <w:r w:rsidR="00DA4F79" w:rsidRPr="008B47C2">
        <w:rPr>
          <w:rFonts w:ascii="Times New Roman" w:hAnsi="Times New Roman" w:cs="Times New Roman"/>
          <w:sz w:val="24"/>
          <w:szCs w:val="24"/>
        </w:rPr>
        <w:t xml:space="preserve">Therefore, by switching to hydromorphone, the potential adverse effects caused by </w:t>
      </w:r>
      <w:r w:rsidR="00246E0A" w:rsidRPr="008B47C2">
        <w:rPr>
          <w:rFonts w:ascii="Times New Roman" w:hAnsi="Times New Roman" w:cs="Times New Roman"/>
          <w:sz w:val="24"/>
          <w:szCs w:val="24"/>
        </w:rPr>
        <w:t>the accumulation of morphine</w:t>
      </w:r>
      <w:r w:rsidR="00EA5D67" w:rsidRPr="008B47C2">
        <w:rPr>
          <w:rFonts w:ascii="Times New Roman" w:hAnsi="Times New Roman" w:cs="Times New Roman"/>
          <w:sz w:val="24"/>
          <w:szCs w:val="24"/>
        </w:rPr>
        <w:t xml:space="preserve"> metabolites could be minimized, thereby addressing the </w:t>
      </w:r>
      <w:r w:rsidRPr="008B47C2">
        <w:rPr>
          <w:rFonts w:ascii="Times New Roman" w:hAnsi="Times New Roman" w:cs="Times New Roman"/>
          <w:sz w:val="24"/>
          <w:szCs w:val="24"/>
        </w:rPr>
        <w:t>patients’</w:t>
      </w:r>
      <w:r w:rsidR="00EA5D67" w:rsidRPr="008B47C2">
        <w:rPr>
          <w:rFonts w:ascii="Times New Roman" w:hAnsi="Times New Roman" w:cs="Times New Roman"/>
          <w:sz w:val="24"/>
          <w:szCs w:val="24"/>
        </w:rPr>
        <w:t xml:space="preserve"> symptoms of confusion and lethargy. </w:t>
      </w:r>
      <w:r w:rsidRPr="008B47C2">
        <w:rPr>
          <w:rFonts w:ascii="Times New Roman" w:hAnsi="Times New Roman" w:cs="Times New Roman"/>
          <w:sz w:val="24"/>
          <w:szCs w:val="24"/>
        </w:rPr>
        <w:t>Furthermore, you accurately describe the four D</w:t>
      </w:r>
      <w:r w:rsidR="00A93402" w:rsidRPr="008B47C2">
        <w:rPr>
          <w:rFonts w:ascii="Times New Roman" w:hAnsi="Times New Roman" w:cs="Times New Roman"/>
          <w:sz w:val="24"/>
          <w:szCs w:val="24"/>
        </w:rPr>
        <w:t xml:space="preserve">EA drug classification schedules, the classification categories, the purpose, and even examples for each category, aligning with evidence-based studies. </w:t>
      </w:r>
      <w:r w:rsidR="00AD5334" w:rsidRPr="008B47C2">
        <w:rPr>
          <w:rFonts w:ascii="Times New Roman" w:hAnsi="Times New Roman" w:cs="Times New Roman"/>
          <w:sz w:val="24"/>
          <w:szCs w:val="24"/>
        </w:rPr>
        <w:t>Providing specific examples, such as stating drugs that fall under every category, like schedule 4, which includes alprazolam, zolpidem, diazepam, and tramadol, provides comprehensiveness in your discussion</w:t>
      </w:r>
      <w:r w:rsidR="00B34019" w:rsidRPr="008B47C2">
        <w:rPr>
          <w:rFonts w:ascii="Times New Roman" w:hAnsi="Times New Roman" w:cs="Times New Roman"/>
          <w:sz w:val="24"/>
          <w:szCs w:val="24"/>
        </w:rPr>
        <w:t xml:space="preserve"> (Lopez &amp; Tadi, 2022)</w:t>
      </w:r>
      <w:r w:rsidR="00AD5334" w:rsidRPr="008B47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18DC" w:rsidRPr="008B47C2" w:rsidRDefault="00D1321F" w:rsidP="008B47C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47C2">
        <w:rPr>
          <w:rFonts w:ascii="Times New Roman" w:hAnsi="Times New Roman" w:cs="Times New Roman"/>
          <w:sz w:val="24"/>
          <w:szCs w:val="24"/>
        </w:rPr>
        <w:t xml:space="preserve">Furthermore, your argument that Jason’s can best be described as tolerance is sufficiently supported. </w:t>
      </w:r>
      <w:r w:rsidR="00BF208C" w:rsidRPr="008B47C2">
        <w:rPr>
          <w:rFonts w:ascii="Times New Roman" w:hAnsi="Times New Roman" w:cs="Times New Roman"/>
          <w:sz w:val="24"/>
          <w:szCs w:val="24"/>
        </w:rPr>
        <w:t>Jeffrey et al. (2020)</w:t>
      </w:r>
      <w:r w:rsidR="007608C9" w:rsidRPr="008B47C2">
        <w:rPr>
          <w:rFonts w:ascii="Times New Roman" w:hAnsi="Times New Roman" w:cs="Times New Roman"/>
          <w:sz w:val="24"/>
          <w:szCs w:val="24"/>
        </w:rPr>
        <w:t xml:space="preserve"> state that opioi</w:t>
      </w:r>
      <w:r w:rsidR="000E17F4" w:rsidRPr="008B47C2">
        <w:rPr>
          <w:rFonts w:ascii="Times New Roman" w:hAnsi="Times New Roman" w:cs="Times New Roman"/>
          <w:sz w:val="24"/>
          <w:szCs w:val="24"/>
        </w:rPr>
        <w:t>d tolerance is characterized by</w:t>
      </w:r>
      <w:r w:rsidR="00B22D05" w:rsidRPr="008B47C2">
        <w:rPr>
          <w:rFonts w:ascii="Times New Roman" w:hAnsi="Times New Roman" w:cs="Times New Roman"/>
          <w:sz w:val="24"/>
          <w:szCs w:val="24"/>
        </w:rPr>
        <w:t xml:space="preserve"> reduced responsiveness to an opioid agonist like morphine. It is usually associated with the need to use increasing doses to achieve the desired effect. </w:t>
      </w:r>
      <w:r w:rsidRPr="008B47C2">
        <w:rPr>
          <w:rFonts w:ascii="Times New Roman" w:hAnsi="Times New Roman" w:cs="Times New Roman"/>
          <w:sz w:val="24"/>
          <w:szCs w:val="24"/>
        </w:rPr>
        <w:t>However, I feel that Jason's situation can be explained bett</w:t>
      </w:r>
      <w:r w:rsidRPr="008B47C2">
        <w:rPr>
          <w:rFonts w:ascii="Times New Roman" w:hAnsi="Times New Roman" w:cs="Times New Roman"/>
          <w:sz w:val="24"/>
          <w:szCs w:val="24"/>
        </w:rPr>
        <w:t xml:space="preserve">er by pseudo-addiction. </w:t>
      </w:r>
      <w:r w:rsidR="006F2E3E" w:rsidRPr="008B47C2">
        <w:rPr>
          <w:rFonts w:ascii="Times New Roman" w:hAnsi="Times New Roman" w:cs="Times New Roman"/>
          <w:sz w:val="24"/>
          <w:szCs w:val="24"/>
        </w:rPr>
        <w:t xml:space="preserve">This is because Jason’s pain was not sufficiently addressed because it reduced from a 9 to 8 after he received morphine. Therefore, </w:t>
      </w:r>
      <w:r w:rsidR="00115F69" w:rsidRPr="008B47C2">
        <w:rPr>
          <w:rFonts w:ascii="Times New Roman" w:hAnsi="Times New Roman" w:cs="Times New Roman"/>
          <w:sz w:val="24"/>
          <w:szCs w:val="24"/>
        </w:rPr>
        <w:t xml:space="preserve">Jason may request an increased dosage to address the pain that has not been diminished completely, which is inconsistent with tolerance. </w:t>
      </w:r>
      <w:r w:rsidR="00823060" w:rsidRPr="008B47C2">
        <w:rPr>
          <w:rFonts w:ascii="Times New Roman" w:hAnsi="Times New Roman" w:cs="Times New Roman"/>
          <w:sz w:val="24"/>
          <w:szCs w:val="24"/>
        </w:rPr>
        <w:t>Yamaguchi (2021)</w:t>
      </w:r>
      <w:r w:rsidR="00B57DC1" w:rsidRPr="008B47C2">
        <w:rPr>
          <w:rFonts w:ascii="Times New Roman" w:hAnsi="Times New Roman" w:cs="Times New Roman"/>
          <w:sz w:val="24"/>
          <w:szCs w:val="24"/>
        </w:rPr>
        <w:t xml:space="preserve"> as a phenomenon that </w:t>
      </w:r>
      <w:r w:rsidR="00B57DC1" w:rsidRPr="008B47C2">
        <w:rPr>
          <w:rFonts w:ascii="Times New Roman" w:hAnsi="Times New Roman" w:cs="Times New Roman"/>
          <w:sz w:val="24"/>
          <w:szCs w:val="24"/>
        </w:rPr>
        <w:lastRenderedPageBreak/>
        <w:t xml:space="preserve">occurs when patients receive inadequate treatment for their pain leading to behavioral changes similar to opioid dependence or addiction. It is a term that was introduced to describe the abnormal behavior developed as a direct consequence of inadequate pain management. </w:t>
      </w:r>
      <w:r w:rsidR="00721E9B" w:rsidRPr="008B47C2">
        <w:rPr>
          <w:rFonts w:ascii="Times New Roman" w:hAnsi="Times New Roman" w:cs="Times New Roman"/>
          <w:sz w:val="24"/>
          <w:szCs w:val="24"/>
        </w:rPr>
        <w:t xml:space="preserve">The definition best describes Jason’s situation. </w:t>
      </w:r>
    </w:p>
    <w:p w:rsidR="00C14183" w:rsidRPr="008B47C2" w:rsidRDefault="00D1321F" w:rsidP="009E3AED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7C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870B3" w:rsidRPr="008B47C2" w:rsidRDefault="00D1321F" w:rsidP="009E3AED">
      <w:pPr>
        <w:pStyle w:val="NormalWeb"/>
        <w:spacing w:before="0" w:beforeAutospacing="0" w:after="0" w:afterAutospacing="0" w:line="480" w:lineRule="auto"/>
        <w:ind w:left="720" w:hanging="720"/>
      </w:pPr>
      <w:r w:rsidRPr="008B47C2">
        <w:t>Coluzzi, F., Caputi, F. F., Billeci, D., Pastore, A. L., Candeletti, S., Rocco, M., &amp; Romualdi, P. (2020). Safe Use of Opioids in Chronic Kidney Disease and He</w:t>
      </w:r>
      <w:r w:rsidRPr="008B47C2">
        <w:t xml:space="preserve">modialysis Patients: Tips and Tricks for Non-Pain Specialists. </w:t>
      </w:r>
      <w:r w:rsidRPr="008B47C2">
        <w:rPr>
          <w:i/>
          <w:iCs/>
        </w:rPr>
        <w:t>Therapeutics and Clinical Risk Management</w:t>
      </w:r>
      <w:r w:rsidRPr="008B47C2">
        <w:t xml:space="preserve">, </w:t>
      </w:r>
      <w:r w:rsidRPr="008B47C2">
        <w:rPr>
          <w:i/>
          <w:iCs/>
        </w:rPr>
        <w:t>16</w:t>
      </w:r>
      <w:r w:rsidRPr="008B47C2">
        <w:t>, 821–837. https://doi.org/10.2147/TCRM.S262843</w:t>
      </w:r>
    </w:p>
    <w:p w:rsidR="007870B3" w:rsidRPr="008B47C2" w:rsidRDefault="00D1321F" w:rsidP="009E3AED">
      <w:pPr>
        <w:pStyle w:val="NormalWeb"/>
        <w:spacing w:before="0" w:beforeAutospacing="0" w:after="0" w:afterAutospacing="0" w:line="480" w:lineRule="auto"/>
        <w:ind w:left="720" w:hanging="720"/>
      </w:pPr>
      <w:r w:rsidRPr="008B47C2">
        <w:t>Jeffery, M. M., Chaisson, C. E., Hane, C., Rumanes, L., Tucker, J., Hang, L., McCoy, R., Chen, C. L.</w:t>
      </w:r>
      <w:r w:rsidRPr="008B47C2">
        <w:t xml:space="preserve">, Bicket, M. C., Hooten, W. M., Larochelle, M., Becker, W. C., Kornegay, C., Racoosin, J. A., &amp; Sanghavi, D. (2020). Assessment of Potentially Inappropriate Prescribing of Opioid Analgesics Requiring Prior Opioid Tolerance. </w:t>
      </w:r>
      <w:r w:rsidRPr="008B47C2">
        <w:rPr>
          <w:i/>
          <w:iCs/>
        </w:rPr>
        <w:t>JAMA Network Open</w:t>
      </w:r>
      <w:r w:rsidRPr="008B47C2">
        <w:t xml:space="preserve">, </w:t>
      </w:r>
      <w:r w:rsidRPr="008B47C2">
        <w:rPr>
          <w:i/>
          <w:iCs/>
        </w:rPr>
        <w:t>3</w:t>
      </w:r>
      <w:r w:rsidRPr="008B47C2">
        <w:t>(4), e202875</w:t>
      </w:r>
      <w:r w:rsidRPr="008B47C2">
        <w:t>. https://doi.org/10.1001/jamanetworkopen.2020.2875</w:t>
      </w:r>
    </w:p>
    <w:p w:rsidR="007870B3" w:rsidRPr="008B47C2" w:rsidRDefault="00D1321F" w:rsidP="009E3AED">
      <w:pPr>
        <w:pStyle w:val="NormalWeb"/>
        <w:spacing w:before="0" w:beforeAutospacing="0" w:after="0" w:afterAutospacing="0" w:line="480" w:lineRule="auto"/>
        <w:ind w:left="720" w:hanging="720"/>
      </w:pPr>
      <w:r w:rsidRPr="008B47C2">
        <w:t xml:space="preserve">Lopez, M. J., &amp; Tadi, P. (2020). </w:t>
      </w:r>
      <w:r w:rsidRPr="008B47C2">
        <w:rPr>
          <w:i/>
          <w:iCs/>
        </w:rPr>
        <w:t>Drug Enforcement Administration Drug Scheduling</w:t>
      </w:r>
      <w:r w:rsidRPr="008B47C2">
        <w:t>. PubMed; StatPearls Publishing. https://www.ncbi.nlm.nih.gov/books/NBK557426/</w:t>
      </w:r>
    </w:p>
    <w:p w:rsidR="007870B3" w:rsidRPr="008B47C2" w:rsidRDefault="00D1321F" w:rsidP="009E3AED">
      <w:pPr>
        <w:pStyle w:val="NormalWeb"/>
        <w:spacing w:before="0" w:beforeAutospacing="0" w:after="0" w:afterAutospacing="0" w:line="480" w:lineRule="auto"/>
        <w:ind w:left="720" w:hanging="720"/>
      </w:pPr>
      <w:r w:rsidRPr="008B47C2">
        <w:t xml:space="preserve">Yamaguchi, S. (2021). </w:t>
      </w:r>
      <w:r w:rsidRPr="008B47C2">
        <w:rPr>
          <w:i/>
          <w:iCs/>
        </w:rPr>
        <w:t>SY3-4 Chemical coping a</w:t>
      </w:r>
      <w:r w:rsidRPr="008B47C2">
        <w:rPr>
          <w:i/>
          <w:iCs/>
        </w:rPr>
        <w:t>nd pseudo addiction in cancer patients</w:t>
      </w:r>
      <w:r w:rsidRPr="008B47C2">
        <w:t>. https://doi.org/10.1016/j.annonc.2021.05.421</w:t>
      </w:r>
    </w:p>
    <w:p w:rsidR="007870B3" w:rsidRPr="00C14183" w:rsidRDefault="007870B3" w:rsidP="0076093E">
      <w:pPr>
        <w:rPr>
          <w:b/>
        </w:rPr>
      </w:pPr>
    </w:p>
    <w:sectPr w:rsidR="007870B3" w:rsidRPr="00C1418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19" w:rsidRDefault="00E17D19" w:rsidP="00E17D19">
      <w:pPr>
        <w:spacing w:after="0" w:line="240" w:lineRule="auto"/>
      </w:pPr>
      <w:r>
        <w:separator/>
      </w:r>
    </w:p>
  </w:endnote>
  <w:endnote w:type="continuationSeparator" w:id="0">
    <w:p w:rsidR="00E17D19" w:rsidRDefault="00E17D19" w:rsidP="00E1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19" w:rsidRDefault="00E17D19" w:rsidP="00E17D19">
      <w:pPr>
        <w:spacing w:after="0" w:line="240" w:lineRule="auto"/>
      </w:pPr>
      <w:r>
        <w:separator/>
      </w:r>
    </w:p>
  </w:footnote>
  <w:footnote w:type="continuationSeparator" w:id="0">
    <w:p w:rsidR="00E17D19" w:rsidRDefault="00E17D19" w:rsidP="00E1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393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17D19" w:rsidRPr="00E17D19" w:rsidRDefault="00E17D19" w:rsidP="00E17D19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17D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7D1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7D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21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7D1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17D19" w:rsidRDefault="00E17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3"/>
    <w:rsid w:val="000E17F4"/>
    <w:rsid w:val="000F7F93"/>
    <w:rsid w:val="00115F69"/>
    <w:rsid w:val="00246E0A"/>
    <w:rsid w:val="003048BF"/>
    <w:rsid w:val="0036104F"/>
    <w:rsid w:val="005E293B"/>
    <w:rsid w:val="006F2E3E"/>
    <w:rsid w:val="00717063"/>
    <w:rsid w:val="00721E9B"/>
    <w:rsid w:val="007608C9"/>
    <w:rsid w:val="0076093E"/>
    <w:rsid w:val="007870B3"/>
    <w:rsid w:val="007C2588"/>
    <w:rsid w:val="00823060"/>
    <w:rsid w:val="00830070"/>
    <w:rsid w:val="008B47C2"/>
    <w:rsid w:val="009E3AED"/>
    <w:rsid w:val="00A118DC"/>
    <w:rsid w:val="00A325EF"/>
    <w:rsid w:val="00A93402"/>
    <w:rsid w:val="00AD5334"/>
    <w:rsid w:val="00AF2087"/>
    <w:rsid w:val="00B22D05"/>
    <w:rsid w:val="00B34019"/>
    <w:rsid w:val="00B44BA5"/>
    <w:rsid w:val="00B46D11"/>
    <w:rsid w:val="00B57DC1"/>
    <w:rsid w:val="00BF208C"/>
    <w:rsid w:val="00C14183"/>
    <w:rsid w:val="00CC2C2B"/>
    <w:rsid w:val="00D1321F"/>
    <w:rsid w:val="00DA4F79"/>
    <w:rsid w:val="00E17D19"/>
    <w:rsid w:val="00E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544E2-BCEB-46F9-846D-B25531FF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17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19"/>
  </w:style>
  <w:style w:type="paragraph" w:styleId="Footer">
    <w:name w:val="footer"/>
    <w:basedOn w:val="Normal"/>
    <w:link w:val="FooterChar"/>
    <w:uiPriority w:val="99"/>
    <w:unhideWhenUsed/>
    <w:rsid w:val="00E17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2023-06-02T23:19:00Z</dcterms:created>
  <dcterms:modified xsi:type="dcterms:W3CDTF">2023-06-02T23:19:00Z</dcterms:modified>
</cp:coreProperties>
</file>