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7E0E" w14:textId="0253D9AE" w:rsidR="00746FAC" w:rsidRPr="001D1DA6" w:rsidRDefault="000B537D" w:rsidP="00900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Legal Perspective:</w:t>
      </w:r>
      <w:r w:rsidR="0090030F">
        <w:rPr>
          <w:rFonts w:ascii="Times New Roman" w:hAnsi="Times New Roman" w:cs="Times New Roman"/>
          <w:b/>
          <w:bCs/>
          <w:sz w:val="24"/>
          <w:szCs w:val="24"/>
        </w:rPr>
        <w:t xml:space="preserve"> Malpractice</w:t>
      </w:r>
    </w:p>
    <w:p w14:paraId="6438BECD" w14:textId="05274C63" w:rsidR="00746FAC" w:rsidRDefault="007D1BCA" w:rsidP="001D1DA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safety remains a core quality dimension in the healthcare sector. More than two decades since the publication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To Err is Human </w:t>
      </w:r>
      <w:r>
        <w:rPr>
          <w:rFonts w:ascii="Times New Roman" w:hAnsi="Times New Roman" w:cs="Times New Roman"/>
          <w:sz w:val="24"/>
          <w:szCs w:val="24"/>
        </w:rPr>
        <w:t>by the Institute of Medicine</w:t>
      </w:r>
      <w:r w:rsidR="00BB1A3B">
        <w:rPr>
          <w:rFonts w:ascii="Times New Roman" w:hAnsi="Times New Roman" w:cs="Times New Roman"/>
          <w:sz w:val="24"/>
          <w:szCs w:val="24"/>
        </w:rPr>
        <w:t>, safety issues remain pervasive throughout the system (</w:t>
      </w:r>
      <w:r w:rsidR="00DF1796">
        <w:rPr>
          <w:rFonts w:ascii="Times New Roman" w:hAnsi="Times New Roman" w:cs="Times New Roman"/>
          <w:sz w:val="24"/>
          <w:szCs w:val="24"/>
        </w:rPr>
        <w:t>Bates &amp; Singh, 2018</w:t>
      </w:r>
      <w:r w:rsidR="00BB1A3B">
        <w:rPr>
          <w:rFonts w:ascii="Times New Roman" w:hAnsi="Times New Roman" w:cs="Times New Roman"/>
          <w:sz w:val="24"/>
          <w:szCs w:val="24"/>
        </w:rPr>
        <w:t xml:space="preserve">). </w:t>
      </w:r>
      <w:r w:rsidR="005A7BF9">
        <w:rPr>
          <w:rFonts w:ascii="Times New Roman" w:hAnsi="Times New Roman" w:cs="Times New Roman"/>
          <w:sz w:val="24"/>
          <w:szCs w:val="24"/>
        </w:rPr>
        <w:t xml:space="preserve">Professional liability policies have consistently aimed at reducing medical malpractice across all </w:t>
      </w:r>
      <w:r w:rsidR="00237029">
        <w:rPr>
          <w:rFonts w:ascii="Times New Roman" w:hAnsi="Times New Roman" w:cs="Times New Roman"/>
          <w:sz w:val="24"/>
          <w:szCs w:val="24"/>
        </w:rPr>
        <w:t>healthcare professionals</w:t>
      </w:r>
      <w:r w:rsidR="00B57EFE">
        <w:rPr>
          <w:rFonts w:ascii="Times New Roman" w:hAnsi="Times New Roman" w:cs="Times New Roman"/>
          <w:sz w:val="24"/>
          <w:szCs w:val="24"/>
        </w:rPr>
        <w:t>, but adverse events and malpractice claims remain prevalent</w:t>
      </w:r>
      <w:r w:rsidR="00237029">
        <w:rPr>
          <w:rFonts w:ascii="Times New Roman" w:hAnsi="Times New Roman" w:cs="Times New Roman"/>
          <w:sz w:val="24"/>
          <w:szCs w:val="24"/>
        </w:rPr>
        <w:t xml:space="preserve"> (</w:t>
      </w:r>
      <w:r w:rsidR="00A17CF7">
        <w:rPr>
          <w:rFonts w:ascii="Times New Roman" w:hAnsi="Times New Roman" w:cs="Times New Roman"/>
          <w:sz w:val="24"/>
          <w:szCs w:val="24"/>
        </w:rPr>
        <w:t>Balestra, 2018</w:t>
      </w:r>
      <w:r w:rsidR="00237029">
        <w:rPr>
          <w:rFonts w:ascii="Times New Roman" w:hAnsi="Times New Roman" w:cs="Times New Roman"/>
          <w:sz w:val="24"/>
          <w:szCs w:val="24"/>
        </w:rPr>
        <w:t xml:space="preserve">). However, </w:t>
      </w:r>
      <w:r w:rsidR="00FA7239">
        <w:rPr>
          <w:rFonts w:ascii="Times New Roman" w:hAnsi="Times New Roman" w:cs="Times New Roman"/>
          <w:sz w:val="24"/>
          <w:szCs w:val="24"/>
        </w:rPr>
        <w:t xml:space="preserve">adverse actions and malpractice claims remain prevalent, albeit with </w:t>
      </w:r>
      <w:r w:rsidR="00237029">
        <w:rPr>
          <w:rFonts w:ascii="Times New Roman" w:hAnsi="Times New Roman" w:cs="Times New Roman"/>
          <w:sz w:val="24"/>
          <w:szCs w:val="24"/>
        </w:rPr>
        <w:t xml:space="preserve">significant differences across </w:t>
      </w:r>
      <w:r w:rsidR="000C5DA1">
        <w:rPr>
          <w:rFonts w:ascii="Times New Roman" w:hAnsi="Times New Roman" w:cs="Times New Roman"/>
          <w:sz w:val="24"/>
          <w:szCs w:val="24"/>
        </w:rPr>
        <w:t>health care</w:t>
      </w:r>
      <w:r w:rsidR="00237029">
        <w:rPr>
          <w:rFonts w:ascii="Times New Roman" w:hAnsi="Times New Roman" w:cs="Times New Roman"/>
          <w:sz w:val="24"/>
          <w:szCs w:val="24"/>
        </w:rPr>
        <w:t xml:space="preserve"> professionals and states.</w:t>
      </w:r>
      <w:r w:rsidR="001920B4">
        <w:rPr>
          <w:rFonts w:ascii="Times New Roman" w:hAnsi="Times New Roman" w:cs="Times New Roman"/>
          <w:sz w:val="24"/>
          <w:szCs w:val="24"/>
        </w:rPr>
        <w:t xml:space="preserve"> For example, </w:t>
      </w:r>
      <w:r w:rsidR="00450818">
        <w:rPr>
          <w:rFonts w:ascii="Times New Roman" w:hAnsi="Times New Roman" w:cs="Times New Roman"/>
          <w:sz w:val="24"/>
          <w:szCs w:val="24"/>
        </w:rPr>
        <w:t xml:space="preserve">Myers et al. (2021) found </w:t>
      </w:r>
      <w:r w:rsidR="00E57EBA">
        <w:rPr>
          <w:rFonts w:ascii="Times New Roman" w:hAnsi="Times New Roman" w:cs="Times New Roman"/>
          <w:sz w:val="24"/>
          <w:szCs w:val="24"/>
        </w:rPr>
        <w:t>significant differences between claims naming advanced practice providers</w:t>
      </w:r>
      <w:r w:rsidR="008B384E">
        <w:rPr>
          <w:rFonts w:ascii="Times New Roman" w:hAnsi="Times New Roman" w:cs="Times New Roman"/>
          <w:sz w:val="24"/>
          <w:szCs w:val="24"/>
        </w:rPr>
        <w:t xml:space="preserve"> – physician assistants (PAs) advanced practice registered nurses (APRNs)</w:t>
      </w:r>
      <w:r w:rsidR="007A5DD3">
        <w:rPr>
          <w:rFonts w:ascii="Times New Roman" w:hAnsi="Times New Roman" w:cs="Times New Roman"/>
          <w:sz w:val="24"/>
          <w:szCs w:val="24"/>
        </w:rPr>
        <w:t xml:space="preserve"> –</w:t>
      </w:r>
      <w:r w:rsidR="008B384E">
        <w:rPr>
          <w:rFonts w:ascii="Times New Roman" w:hAnsi="Times New Roman" w:cs="Times New Roman"/>
          <w:sz w:val="24"/>
          <w:szCs w:val="24"/>
        </w:rPr>
        <w:t xml:space="preserve"> </w:t>
      </w:r>
      <w:r w:rsidR="00E57EBA">
        <w:rPr>
          <w:rFonts w:ascii="Times New Roman" w:hAnsi="Times New Roman" w:cs="Times New Roman"/>
          <w:sz w:val="24"/>
          <w:szCs w:val="24"/>
        </w:rPr>
        <w:t xml:space="preserve">and physicians. </w:t>
      </w:r>
      <w:r w:rsidR="000C5DA1">
        <w:rPr>
          <w:rFonts w:ascii="Times New Roman" w:hAnsi="Times New Roman" w:cs="Times New Roman"/>
          <w:sz w:val="24"/>
          <w:szCs w:val="24"/>
        </w:rPr>
        <w:t>Based on data from Joel (2022), the discussion compares APRN and medical doctors</w:t>
      </w:r>
      <w:r w:rsidR="001A32D1">
        <w:rPr>
          <w:rFonts w:ascii="Times New Roman" w:hAnsi="Times New Roman" w:cs="Times New Roman"/>
          <w:sz w:val="24"/>
          <w:szCs w:val="24"/>
        </w:rPr>
        <w:t xml:space="preserve"> (MDs) adverse </w:t>
      </w:r>
      <w:r w:rsidR="008B0273">
        <w:rPr>
          <w:rFonts w:ascii="Times New Roman" w:hAnsi="Times New Roman" w:cs="Times New Roman"/>
          <w:sz w:val="24"/>
          <w:szCs w:val="24"/>
        </w:rPr>
        <w:t>actions</w:t>
      </w:r>
      <w:r w:rsidR="001A32D1">
        <w:rPr>
          <w:rFonts w:ascii="Times New Roman" w:hAnsi="Times New Roman" w:cs="Times New Roman"/>
          <w:sz w:val="24"/>
          <w:szCs w:val="24"/>
        </w:rPr>
        <w:t xml:space="preserve"> and malpractice claims in Massachusetts. It will also provide a rationale for the differences and the effect of malpractice suits on patient access. </w:t>
      </w:r>
    </w:p>
    <w:p w14:paraId="56FDF925" w14:textId="4FE1B2C0" w:rsidR="001A32D1" w:rsidRDefault="008B0273" w:rsidP="00BF3AF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1990 to 2014, </w:t>
      </w:r>
      <w:r w:rsidR="00FA7239">
        <w:rPr>
          <w:rFonts w:ascii="Times New Roman" w:hAnsi="Times New Roman" w:cs="Times New Roman"/>
          <w:sz w:val="24"/>
          <w:szCs w:val="24"/>
        </w:rPr>
        <w:t xml:space="preserve">Massachusetts recorded </w:t>
      </w:r>
      <w:r w:rsidR="00914040">
        <w:rPr>
          <w:rFonts w:ascii="Times New Roman" w:hAnsi="Times New Roman" w:cs="Times New Roman"/>
          <w:sz w:val="24"/>
          <w:szCs w:val="24"/>
        </w:rPr>
        <w:t xml:space="preserve">2,550 </w:t>
      </w:r>
      <w:r>
        <w:rPr>
          <w:rFonts w:ascii="Times New Roman" w:hAnsi="Times New Roman" w:cs="Times New Roman"/>
          <w:sz w:val="24"/>
          <w:szCs w:val="24"/>
        </w:rPr>
        <w:t>adverse</w:t>
      </w:r>
      <w:r w:rsidR="00FA7239">
        <w:rPr>
          <w:rFonts w:ascii="Times New Roman" w:hAnsi="Times New Roman" w:cs="Times New Roman"/>
          <w:sz w:val="24"/>
          <w:szCs w:val="24"/>
        </w:rPr>
        <w:t xml:space="preserve"> actions and </w:t>
      </w:r>
      <w:r w:rsidR="00914040">
        <w:rPr>
          <w:rFonts w:ascii="Times New Roman" w:hAnsi="Times New Roman" w:cs="Times New Roman"/>
          <w:sz w:val="24"/>
          <w:szCs w:val="24"/>
        </w:rPr>
        <w:t>more than 6,000 medical claims against physicians compared to 33 adverse actions and 167 medical malpractice claims against APRNs</w:t>
      </w:r>
      <w:r w:rsidR="00B76BF0">
        <w:rPr>
          <w:rFonts w:ascii="Times New Roman" w:hAnsi="Times New Roman" w:cs="Times New Roman"/>
          <w:sz w:val="24"/>
          <w:szCs w:val="24"/>
        </w:rPr>
        <w:t xml:space="preserve"> (Joel, 2022)</w:t>
      </w:r>
      <w:r w:rsidR="00914040">
        <w:rPr>
          <w:rFonts w:ascii="Times New Roman" w:hAnsi="Times New Roman" w:cs="Times New Roman"/>
          <w:sz w:val="24"/>
          <w:szCs w:val="24"/>
        </w:rPr>
        <w:t>.</w:t>
      </w:r>
      <w:r w:rsidR="00B76BF0">
        <w:rPr>
          <w:rFonts w:ascii="Times New Roman" w:hAnsi="Times New Roman" w:cs="Times New Roman"/>
          <w:sz w:val="24"/>
          <w:szCs w:val="24"/>
        </w:rPr>
        <w:t xml:space="preserve"> The statistics show </w:t>
      </w:r>
      <w:r w:rsidR="00DD6CE6">
        <w:rPr>
          <w:rFonts w:ascii="Times New Roman" w:hAnsi="Times New Roman" w:cs="Times New Roman"/>
          <w:sz w:val="24"/>
          <w:szCs w:val="24"/>
        </w:rPr>
        <w:t>significant</w:t>
      </w:r>
      <w:r w:rsidR="00B76BF0">
        <w:rPr>
          <w:rFonts w:ascii="Times New Roman" w:hAnsi="Times New Roman" w:cs="Times New Roman"/>
          <w:sz w:val="24"/>
          <w:szCs w:val="24"/>
        </w:rPr>
        <w:t xml:space="preserve"> di</w:t>
      </w:r>
      <w:r w:rsidR="00DD6CE6">
        <w:rPr>
          <w:rFonts w:ascii="Times New Roman" w:hAnsi="Times New Roman" w:cs="Times New Roman"/>
          <w:sz w:val="24"/>
          <w:szCs w:val="24"/>
        </w:rPr>
        <w:t xml:space="preserve">fferences between </w:t>
      </w:r>
      <w:r w:rsidR="00DD6CE6">
        <w:rPr>
          <w:rFonts w:ascii="Times New Roman" w:hAnsi="Times New Roman" w:cs="Times New Roman"/>
          <w:sz w:val="24"/>
          <w:szCs w:val="24"/>
        </w:rPr>
        <w:t>APRNs and MDs</w:t>
      </w:r>
      <w:r w:rsidR="00DD6CE6">
        <w:rPr>
          <w:rFonts w:ascii="Times New Roman" w:hAnsi="Times New Roman" w:cs="Times New Roman"/>
          <w:sz w:val="24"/>
          <w:szCs w:val="24"/>
        </w:rPr>
        <w:t xml:space="preserve">’ adverse actions and malpractice claims recorded in the </w:t>
      </w:r>
      <w:r w:rsidR="009E6D9A">
        <w:rPr>
          <w:rFonts w:ascii="Times New Roman" w:hAnsi="Times New Roman" w:cs="Times New Roman"/>
          <w:sz w:val="24"/>
          <w:szCs w:val="24"/>
        </w:rPr>
        <w:t xml:space="preserve">National Practitioner Data Bank. A plausible explanation of the difference is the APRNs’ scope of practice in Massachusetts. </w:t>
      </w:r>
      <w:r w:rsidR="001D2F7A">
        <w:rPr>
          <w:rFonts w:ascii="Times New Roman" w:hAnsi="Times New Roman" w:cs="Times New Roman"/>
          <w:sz w:val="24"/>
          <w:szCs w:val="24"/>
        </w:rPr>
        <w:t>While APRNs have full practice authority</w:t>
      </w:r>
      <w:r w:rsidR="002029BD">
        <w:rPr>
          <w:rFonts w:ascii="Times New Roman" w:hAnsi="Times New Roman" w:cs="Times New Roman"/>
          <w:sz w:val="24"/>
          <w:szCs w:val="24"/>
        </w:rPr>
        <w:t>, the Massachusetts Board of Nursing imposes transition to practice requirements</w:t>
      </w:r>
      <w:r w:rsidR="00290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6E81">
        <w:rPr>
          <w:rFonts w:ascii="Times New Roman" w:hAnsi="Times New Roman" w:cs="Times New Roman"/>
          <w:sz w:val="24"/>
          <w:szCs w:val="24"/>
        </w:rPr>
        <w:t>Kleinpell</w:t>
      </w:r>
      <w:proofErr w:type="spellEnd"/>
      <w:r w:rsidR="00846E81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290D4C">
        <w:rPr>
          <w:rFonts w:ascii="Times New Roman" w:hAnsi="Times New Roman" w:cs="Times New Roman"/>
          <w:sz w:val="24"/>
          <w:szCs w:val="24"/>
        </w:rPr>
        <w:t xml:space="preserve">). Therefore, APRNs work under </w:t>
      </w:r>
      <w:r w:rsidR="009D2F03">
        <w:rPr>
          <w:rFonts w:ascii="Times New Roman" w:hAnsi="Times New Roman" w:cs="Times New Roman"/>
          <w:sz w:val="24"/>
          <w:szCs w:val="24"/>
        </w:rPr>
        <w:t>collaborative practice agreements with physicians for at least 4,000 practice hours or two years (</w:t>
      </w:r>
      <w:r w:rsidR="00EE0F72">
        <w:rPr>
          <w:rFonts w:ascii="Times New Roman" w:hAnsi="Times New Roman" w:cs="Times New Roman"/>
          <w:sz w:val="24"/>
          <w:szCs w:val="24"/>
        </w:rPr>
        <w:t>American Medical Association, 2017</w:t>
      </w:r>
      <w:r w:rsidR="009D2F03">
        <w:rPr>
          <w:rFonts w:ascii="Times New Roman" w:hAnsi="Times New Roman" w:cs="Times New Roman"/>
          <w:sz w:val="24"/>
          <w:szCs w:val="24"/>
        </w:rPr>
        <w:t xml:space="preserve">). </w:t>
      </w:r>
      <w:r w:rsidR="00CA5635">
        <w:rPr>
          <w:rFonts w:ascii="Times New Roman" w:hAnsi="Times New Roman" w:cs="Times New Roman"/>
          <w:sz w:val="24"/>
          <w:szCs w:val="24"/>
        </w:rPr>
        <w:t>Consequently, many adverse actions and malpractice claims are directed towards supervising physicians or on behalf of the hospital.</w:t>
      </w:r>
      <w:r w:rsidR="004B3DF5">
        <w:rPr>
          <w:rFonts w:ascii="Times New Roman" w:hAnsi="Times New Roman" w:cs="Times New Roman"/>
          <w:sz w:val="24"/>
          <w:szCs w:val="24"/>
        </w:rPr>
        <w:t xml:space="preserve"> </w:t>
      </w:r>
      <w:r w:rsidR="00EE0F72">
        <w:rPr>
          <w:rFonts w:ascii="Times New Roman" w:hAnsi="Times New Roman" w:cs="Times New Roman"/>
          <w:sz w:val="24"/>
          <w:szCs w:val="24"/>
        </w:rPr>
        <w:lastRenderedPageBreak/>
        <w:t xml:space="preserve">Myers et al. (2021) </w:t>
      </w:r>
      <w:r w:rsidR="004B3DF5">
        <w:rPr>
          <w:rFonts w:ascii="Times New Roman" w:hAnsi="Times New Roman" w:cs="Times New Roman"/>
          <w:sz w:val="24"/>
          <w:szCs w:val="24"/>
        </w:rPr>
        <w:t>qualifie</w:t>
      </w:r>
      <w:r w:rsidR="00EE0F72">
        <w:rPr>
          <w:rFonts w:ascii="Times New Roman" w:hAnsi="Times New Roman" w:cs="Times New Roman"/>
          <w:sz w:val="24"/>
          <w:szCs w:val="24"/>
        </w:rPr>
        <w:t>d</w:t>
      </w:r>
      <w:r w:rsidR="004B3DF5">
        <w:rPr>
          <w:rFonts w:ascii="Times New Roman" w:hAnsi="Times New Roman" w:cs="Times New Roman"/>
          <w:sz w:val="24"/>
          <w:szCs w:val="24"/>
        </w:rPr>
        <w:t xml:space="preserve"> the observation</w:t>
      </w:r>
      <w:r w:rsidR="00EE0F72">
        <w:rPr>
          <w:rFonts w:ascii="Times New Roman" w:hAnsi="Times New Roman" w:cs="Times New Roman"/>
          <w:sz w:val="24"/>
          <w:szCs w:val="24"/>
        </w:rPr>
        <w:t xml:space="preserve"> by revealing</w:t>
      </w:r>
      <w:r w:rsidR="004B3DF5">
        <w:rPr>
          <w:rFonts w:ascii="Times New Roman" w:hAnsi="Times New Roman" w:cs="Times New Roman"/>
          <w:sz w:val="24"/>
          <w:szCs w:val="24"/>
        </w:rPr>
        <w:t xml:space="preserve"> that fewer</w:t>
      </w:r>
      <w:r w:rsidR="004B3DF5">
        <w:rPr>
          <w:rFonts w:ascii="Times New Roman" w:hAnsi="Times New Roman" w:cs="Times New Roman"/>
          <w:sz w:val="24"/>
          <w:szCs w:val="24"/>
        </w:rPr>
        <w:t xml:space="preserve"> malpractice</w:t>
      </w:r>
      <w:r w:rsidR="004B3DF5">
        <w:rPr>
          <w:rFonts w:ascii="Times New Roman" w:hAnsi="Times New Roman" w:cs="Times New Roman"/>
          <w:sz w:val="24"/>
          <w:szCs w:val="24"/>
        </w:rPr>
        <w:t xml:space="preserve"> claims name</w:t>
      </w:r>
      <w:r w:rsidR="00654A5B">
        <w:rPr>
          <w:rFonts w:ascii="Times New Roman" w:hAnsi="Times New Roman" w:cs="Times New Roman"/>
          <w:sz w:val="24"/>
          <w:szCs w:val="24"/>
        </w:rPr>
        <w:t>d</w:t>
      </w:r>
      <w:r w:rsidR="004B3DF5">
        <w:rPr>
          <w:rFonts w:ascii="Times New Roman" w:hAnsi="Times New Roman" w:cs="Times New Roman"/>
          <w:sz w:val="24"/>
          <w:szCs w:val="24"/>
        </w:rPr>
        <w:t xml:space="preserve"> APPs compared to physicians</w:t>
      </w:r>
      <w:r w:rsidR="00654A5B">
        <w:rPr>
          <w:rFonts w:ascii="Times New Roman" w:hAnsi="Times New Roman" w:cs="Times New Roman"/>
          <w:sz w:val="24"/>
          <w:szCs w:val="24"/>
        </w:rPr>
        <w:t xml:space="preserve"> from 2007 to 2016</w:t>
      </w:r>
      <w:r w:rsidR="004B3DF5">
        <w:rPr>
          <w:rFonts w:ascii="Times New Roman" w:hAnsi="Times New Roman" w:cs="Times New Roman"/>
          <w:sz w:val="24"/>
          <w:szCs w:val="24"/>
        </w:rPr>
        <w:t>.</w:t>
      </w:r>
      <w:r w:rsidR="00CA5635">
        <w:rPr>
          <w:rFonts w:ascii="Times New Roman" w:hAnsi="Times New Roman" w:cs="Times New Roman"/>
          <w:sz w:val="24"/>
          <w:szCs w:val="24"/>
        </w:rPr>
        <w:t xml:space="preserve"> </w:t>
      </w:r>
      <w:r w:rsidR="00FD22C3">
        <w:rPr>
          <w:rFonts w:ascii="Times New Roman" w:hAnsi="Times New Roman" w:cs="Times New Roman"/>
          <w:sz w:val="24"/>
          <w:szCs w:val="24"/>
        </w:rPr>
        <w:t>Secondly, the differences could be linked to the mandatory reporting laws for medical malpractice (</w:t>
      </w:r>
      <w:r w:rsidR="00654A5B">
        <w:rPr>
          <w:rFonts w:ascii="Times New Roman" w:hAnsi="Times New Roman" w:cs="Times New Roman"/>
          <w:sz w:val="24"/>
          <w:szCs w:val="24"/>
        </w:rPr>
        <w:t>Commonwealth of Massachusetts, 2023</w:t>
      </w:r>
      <w:r w:rsidR="00FD22C3">
        <w:rPr>
          <w:rFonts w:ascii="Times New Roman" w:hAnsi="Times New Roman" w:cs="Times New Roman"/>
          <w:sz w:val="24"/>
          <w:szCs w:val="24"/>
        </w:rPr>
        <w:t xml:space="preserve">). Mandatory reporting has been associated with </w:t>
      </w:r>
      <w:r w:rsidR="00231065">
        <w:rPr>
          <w:rFonts w:ascii="Times New Roman" w:hAnsi="Times New Roman" w:cs="Times New Roman"/>
          <w:sz w:val="24"/>
          <w:szCs w:val="24"/>
        </w:rPr>
        <w:t>increased fear of</w:t>
      </w:r>
      <w:r w:rsidR="00FD22C3">
        <w:rPr>
          <w:rFonts w:ascii="Times New Roman" w:hAnsi="Times New Roman" w:cs="Times New Roman"/>
          <w:sz w:val="24"/>
          <w:szCs w:val="24"/>
        </w:rPr>
        <w:t xml:space="preserve"> tort liability</w:t>
      </w:r>
      <w:r w:rsidR="00231065">
        <w:rPr>
          <w:rFonts w:ascii="Times New Roman" w:hAnsi="Times New Roman" w:cs="Times New Roman"/>
          <w:sz w:val="24"/>
          <w:szCs w:val="24"/>
        </w:rPr>
        <w:t xml:space="preserve">, which discourages the reporting of errors or medical malpractice </w:t>
      </w:r>
      <w:r w:rsidR="00FD22C3">
        <w:rPr>
          <w:rFonts w:ascii="Times New Roman" w:hAnsi="Times New Roman" w:cs="Times New Roman"/>
          <w:sz w:val="24"/>
          <w:szCs w:val="24"/>
        </w:rPr>
        <w:t>(</w:t>
      </w:r>
      <w:r w:rsidR="00826115">
        <w:rPr>
          <w:rFonts w:ascii="Times New Roman" w:hAnsi="Times New Roman" w:cs="Times New Roman"/>
          <w:sz w:val="24"/>
          <w:szCs w:val="24"/>
        </w:rPr>
        <w:t>Mello et al., 2020</w:t>
      </w:r>
      <w:r w:rsidR="002310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31065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="00231065">
        <w:rPr>
          <w:rFonts w:ascii="Times New Roman" w:hAnsi="Times New Roman" w:cs="Times New Roman"/>
          <w:sz w:val="24"/>
          <w:szCs w:val="24"/>
        </w:rPr>
        <w:t xml:space="preserve"> &amp; Mello, 2018</w:t>
      </w:r>
      <w:r w:rsidR="00FD22C3">
        <w:rPr>
          <w:rFonts w:ascii="Times New Roman" w:hAnsi="Times New Roman" w:cs="Times New Roman"/>
          <w:sz w:val="24"/>
          <w:szCs w:val="24"/>
        </w:rPr>
        <w:t>)</w:t>
      </w:r>
      <w:r w:rsidR="00231065">
        <w:rPr>
          <w:rFonts w:ascii="Times New Roman" w:hAnsi="Times New Roman" w:cs="Times New Roman"/>
          <w:sz w:val="24"/>
          <w:szCs w:val="24"/>
        </w:rPr>
        <w:t>.</w:t>
      </w:r>
      <w:r w:rsidR="00FD22C3">
        <w:rPr>
          <w:rFonts w:ascii="Times New Roman" w:hAnsi="Times New Roman" w:cs="Times New Roman"/>
          <w:sz w:val="24"/>
          <w:szCs w:val="24"/>
        </w:rPr>
        <w:t xml:space="preserve"> Therefore, this could imply</w:t>
      </w:r>
      <w:r w:rsidR="00FD22C3">
        <w:rPr>
          <w:rFonts w:ascii="Times New Roman" w:hAnsi="Times New Roman" w:cs="Times New Roman"/>
          <w:sz w:val="24"/>
          <w:szCs w:val="24"/>
        </w:rPr>
        <w:t xml:space="preserve"> underreporting of</w:t>
      </w:r>
      <w:r w:rsidR="00FD22C3">
        <w:rPr>
          <w:rFonts w:ascii="Times New Roman" w:hAnsi="Times New Roman" w:cs="Times New Roman"/>
          <w:sz w:val="24"/>
          <w:szCs w:val="24"/>
        </w:rPr>
        <w:t xml:space="preserve"> adverse events and medical malpractice because of the threat of litigation, especially among APRNs not working under physicians’ supervision.</w:t>
      </w:r>
      <w:r w:rsidR="00BF3AFC">
        <w:rPr>
          <w:rFonts w:ascii="Times New Roman" w:hAnsi="Times New Roman" w:cs="Times New Roman"/>
          <w:sz w:val="24"/>
          <w:szCs w:val="24"/>
        </w:rPr>
        <w:t xml:space="preserve"> </w:t>
      </w:r>
      <w:r w:rsidR="00BD4498">
        <w:rPr>
          <w:rFonts w:ascii="Times New Roman" w:hAnsi="Times New Roman" w:cs="Times New Roman"/>
          <w:sz w:val="24"/>
          <w:szCs w:val="24"/>
        </w:rPr>
        <w:t>Thirdly</w:t>
      </w:r>
      <w:r w:rsidR="002D654B">
        <w:rPr>
          <w:rFonts w:ascii="Times New Roman" w:hAnsi="Times New Roman" w:cs="Times New Roman"/>
          <w:sz w:val="24"/>
          <w:szCs w:val="24"/>
        </w:rPr>
        <w:t xml:space="preserve">, the differences could be associated with </w:t>
      </w:r>
      <w:r w:rsidR="004D11A9">
        <w:rPr>
          <w:rFonts w:ascii="Times New Roman" w:hAnsi="Times New Roman" w:cs="Times New Roman"/>
          <w:sz w:val="24"/>
          <w:szCs w:val="24"/>
        </w:rPr>
        <w:t>the state’s process of investigating adverse events and malpractice</w:t>
      </w:r>
      <w:r w:rsidR="002539B1">
        <w:rPr>
          <w:rFonts w:ascii="Times New Roman" w:hAnsi="Times New Roman" w:cs="Times New Roman"/>
          <w:sz w:val="24"/>
          <w:szCs w:val="24"/>
        </w:rPr>
        <w:t xml:space="preserve"> </w:t>
      </w:r>
      <w:r w:rsidR="00CC231B">
        <w:rPr>
          <w:rFonts w:ascii="Times New Roman" w:hAnsi="Times New Roman" w:cs="Times New Roman"/>
          <w:sz w:val="24"/>
          <w:szCs w:val="24"/>
        </w:rPr>
        <w:t xml:space="preserve">that requires a </w:t>
      </w:r>
      <w:r w:rsidR="001172BF">
        <w:rPr>
          <w:rFonts w:ascii="Times New Roman" w:hAnsi="Times New Roman" w:cs="Times New Roman"/>
          <w:sz w:val="24"/>
          <w:szCs w:val="24"/>
        </w:rPr>
        <w:t>requires a high burden o</w:t>
      </w:r>
      <w:r w:rsidR="00156C3E">
        <w:rPr>
          <w:rFonts w:ascii="Times New Roman" w:hAnsi="Times New Roman" w:cs="Times New Roman"/>
          <w:sz w:val="24"/>
          <w:szCs w:val="24"/>
        </w:rPr>
        <w:t>f proof</w:t>
      </w:r>
      <w:r w:rsidR="008B52E0">
        <w:rPr>
          <w:rFonts w:ascii="Times New Roman" w:hAnsi="Times New Roman" w:cs="Times New Roman"/>
          <w:sz w:val="24"/>
          <w:szCs w:val="24"/>
        </w:rPr>
        <w:t>, with state-appointed tribunals screening initial claims for merit (</w:t>
      </w:r>
      <w:r w:rsidR="00CC231B">
        <w:rPr>
          <w:rFonts w:ascii="Times New Roman" w:hAnsi="Times New Roman" w:cs="Times New Roman"/>
          <w:sz w:val="24"/>
          <w:szCs w:val="24"/>
        </w:rPr>
        <w:t>American Association of Nurse Practitioners, 2023</w:t>
      </w:r>
      <w:r w:rsidR="008B52E0">
        <w:rPr>
          <w:rFonts w:ascii="Times New Roman" w:hAnsi="Times New Roman" w:cs="Times New Roman"/>
          <w:sz w:val="24"/>
          <w:szCs w:val="24"/>
        </w:rPr>
        <w:t xml:space="preserve">). </w:t>
      </w:r>
      <w:r w:rsidR="00BF3AFC">
        <w:rPr>
          <w:rFonts w:ascii="Times New Roman" w:hAnsi="Times New Roman" w:cs="Times New Roman"/>
          <w:sz w:val="24"/>
          <w:szCs w:val="24"/>
        </w:rPr>
        <w:t>Consequently</w:t>
      </w:r>
      <w:r w:rsidR="008B52E0">
        <w:rPr>
          <w:rFonts w:ascii="Times New Roman" w:hAnsi="Times New Roman" w:cs="Times New Roman"/>
          <w:sz w:val="24"/>
          <w:szCs w:val="24"/>
        </w:rPr>
        <w:t>,</w:t>
      </w:r>
      <w:r w:rsidR="00AF6867">
        <w:rPr>
          <w:rFonts w:ascii="Times New Roman" w:hAnsi="Times New Roman" w:cs="Times New Roman"/>
          <w:sz w:val="24"/>
          <w:szCs w:val="24"/>
        </w:rPr>
        <w:t xml:space="preserve"> many claims may be discredited if they do not provide adequate proof. </w:t>
      </w:r>
    </w:p>
    <w:p w14:paraId="0471E129" w14:textId="123CA209" w:rsidR="00BF3AFC" w:rsidRDefault="00272025" w:rsidP="00BF3AF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2025">
        <w:rPr>
          <w:rFonts w:ascii="Times New Roman" w:hAnsi="Times New Roman" w:cs="Times New Roman"/>
          <w:sz w:val="24"/>
          <w:szCs w:val="24"/>
        </w:rPr>
        <w:t>Medical</w:t>
      </w:r>
      <w:r>
        <w:rPr>
          <w:rFonts w:ascii="Times New Roman" w:hAnsi="Times New Roman" w:cs="Times New Roman"/>
          <w:sz w:val="24"/>
          <w:szCs w:val="24"/>
        </w:rPr>
        <w:t xml:space="preserve"> malpractice suits could significantly affect patient access</w:t>
      </w:r>
      <w:r w:rsidR="004F6AC6">
        <w:rPr>
          <w:rFonts w:ascii="Times New Roman" w:hAnsi="Times New Roman" w:cs="Times New Roman"/>
          <w:sz w:val="24"/>
          <w:szCs w:val="24"/>
        </w:rPr>
        <w:t xml:space="preserve"> to care in multiple ways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5B81">
        <w:rPr>
          <w:rFonts w:ascii="Times New Roman" w:hAnsi="Times New Roman" w:cs="Times New Roman"/>
          <w:sz w:val="24"/>
          <w:szCs w:val="24"/>
        </w:rPr>
        <w:t>Mal</w:t>
      </w:r>
      <w:r w:rsidR="00C343FC">
        <w:rPr>
          <w:rFonts w:ascii="Times New Roman" w:hAnsi="Times New Roman" w:cs="Times New Roman"/>
          <w:sz w:val="24"/>
          <w:szCs w:val="24"/>
        </w:rPr>
        <w:t xml:space="preserve">practice suits lead to insurance premiums that could </w:t>
      </w:r>
      <w:r w:rsidR="00F239EB">
        <w:rPr>
          <w:rFonts w:ascii="Times New Roman" w:hAnsi="Times New Roman" w:cs="Times New Roman"/>
          <w:sz w:val="24"/>
          <w:szCs w:val="24"/>
        </w:rPr>
        <w:t>be passed to patients or oblige clinicians to reduce the services offered</w:t>
      </w:r>
      <w:r w:rsidR="00B95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5314">
        <w:rPr>
          <w:rFonts w:ascii="Times New Roman" w:hAnsi="Times New Roman" w:cs="Times New Roman"/>
          <w:sz w:val="24"/>
          <w:szCs w:val="24"/>
        </w:rPr>
        <w:t>Reschovsky</w:t>
      </w:r>
      <w:proofErr w:type="spellEnd"/>
      <w:r w:rsidR="00B95314">
        <w:rPr>
          <w:rFonts w:ascii="Times New Roman" w:hAnsi="Times New Roman" w:cs="Times New Roman"/>
          <w:sz w:val="24"/>
          <w:szCs w:val="24"/>
        </w:rPr>
        <w:t>, 2018)</w:t>
      </w:r>
      <w:r w:rsidR="0013023E">
        <w:rPr>
          <w:rFonts w:ascii="Times New Roman" w:hAnsi="Times New Roman" w:cs="Times New Roman"/>
          <w:sz w:val="24"/>
          <w:szCs w:val="24"/>
        </w:rPr>
        <w:t>. Alternatively, clinicians may engage in defensive medicine</w:t>
      </w:r>
      <w:r w:rsidR="00302700">
        <w:rPr>
          <w:rFonts w:ascii="Times New Roman" w:hAnsi="Times New Roman" w:cs="Times New Roman"/>
          <w:sz w:val="24"/>
          <w:szCs w:val="24"/>
        </w:rPr>
        <w:t xml:space="preserve"> to reduce their exposure to tort liability</w:t>
      </w:r>
      <w:r w:rsidR="00B95314">
        <w:rPr>
          <w:rFonts w:ascii="Times New Roman" w:hAnsi="Times New Roman" w:cs="Times New Roman"/>
          <w:sz w:val="24"/>
          <w:szCs w:val="24"/>
        </w:rPr>
        <w:t xml:space="preserve"> or </w:t>
      </w:r>
      <w:r w:rsidR="00AD527D">
        <w:rPr>
          <w:rFonts w:ascii="Times New Roman" w:hAnsi="Times New Roman" w:cs="Times New Roman"/>
          <w:sz w:val="24"/>
          <w:szCs w:val="24"/>
        </w:rPr>
        <w:t>relocate to states with manageable costs pertaining to insurance premiums (</w:t>
      </w:r>
      <w:r w:rsidR="00B95314">
        <w:rPr>
          <w:rFonts w:ascii="Times New Roman" w:hAnsi="Times New Roman" w:cs="Times New Roman"/>
          <w:sz w:val="24"/>
          <w:szCs w:val="24"/>
        </w:rPr>
        <w:t>Katz, 2019</w:t>
      </w:r>
      <w:r w:rsidR="003B54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5415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="003B5415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AD527D">
        <w:rPr>
          <w:rFonts w:ascii="Times New Roman" w:hAnsi="Times New Roman" w:cs="Times New Roman"/>
          <w:sz w:val="24"/>
          <w:szCs w:val="24"/>
        </w:rPr>
        <w:t>).</w:t>
      </w:r>
      <w:r w:rsidR="00302700">
        <w:rPr>
          <w:rFonts w:ascii="Times New Roman" w:hAnsi="Times New Roman" w:cs="Times New Roman"/>
          <w:sz w:val="24"/>
          <w:szCs w:val="24"/>
        </w:rPr>
        <w:t xml:space="preserve"> </w:t>
      </w:r>
      <w:r w:rsidR="00AD527D">
        <w:rPr>
          <w:rFonts w:ascii="Times New Roman" w:hAnsi="Times New Roman" w:cs="Times New Roman"/>
          <w:sz w:val="24"/>
          <w:szCs w:val="24"/>
        </w:rPr>
        <w:t xml:space="preserve"> </w:t>
      </w:r>
      <w:r w:rsidR="00516E91">
        <w:rPr>
          <w:rFonts w:ascii="Times New Roman" w:hAnsi="Times New Roman" w:cs="Times New Roman"/>
          <w:sz w:val="24"/>
          <w:szCs w:val="24"/>
        </w:rPr>
        <w:t>T</w:t>
      </w:r>
      <w:r w:rsidR="00B411BA">
        <w:rPr>
          <w:rFonts w:ascii="Times New Roman" w:hAnsi="Times New Roman" w:cs="Times New Roman"/>
          <w:sz w:val="24"/>
          <w:szCs w:val="24"/>
        </w:rPr>
        <w:t xml:space="preserve">he rising costs of malpractice premiums are </w:t>
      </w:r>
      <w:r w:rsidR="002408D2">
        <w:rPr>
          <w:rFonts w:ascii="Times New Roman" w:hAnsi="Times New Roman" w:cs="Times New Roman"/>
          <w:sz w:val="24"/>
          <w:szCs w:val="24"/>
        </w:rPr>
        <w:t>passed to patients</w:t>
      </w:r>
      <w:r w:rsidR="00B411BA">
        <w:rPr>
          <w:rFonts w:ascii="Times New Roman" w:hAnsi="Times New Roman" w:cs="Times New Roman"/>
          <w:sz w:val="24"/>
          <w:szCs w:val="24"/>
        </w:rPr>
        <w:t xml:space="preserve">, </w:t>
      </w:r>
      <w:r w:rsidR="00516E91">
        <w:rPr>
          <w:rFonts w:ascii="Times New Roman" w:hAnsi="Times New Roman" w:cs="Times New Roman"/>
          <w:sz w:val="24"/>
          <w:szCs w:val="24"/>
        </w:rPr>
        <w:t xml:space="preserve">compounding the existing challenges in accessing affordable care. </w:t>
      </w:r>
      <w:r w:rsidR="000F30C0">
        <w:rPr>
          <w:rFonts w:ascii="Times New Roman" w:hAnsi="Times New Roman" w:cs="Times New Roman"/>
          <w:sz w:val="24"/>
          <w:szCs w:val="24"/>
        </w:rPr>
        <w:t>In addition, the relocation of c</w:t>
      </w:r>
      <w:r w:rsidR="00796C4F">
        <w:rPr>
          <w:rFonts w:ascii="Times New Roman" w:hAnsi="Times New Roman" w:cs="Times New Roman"/>
          <w:sz w:val="24"/>
          <w:szCs w:val="24"/>
        </w:rPr>
        <w:t>linicians or their decisions to leave the labor force increases the underserved populations in certain geographic areas or specialties</w:t>
      </w:r>
      <w:r w:rsidR="00516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BAE4E" w14:textId="77B0E9B9" w:rsidR="00516E91" w:rsidRDefault="009C2179" w:rsidP="009C2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5DD99CD3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 Association of Nurse Practitioners. (2023). 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Practice information by state: Massachusetts information and resources for NPs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4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https://www.aanp.org/practice/practice-information-by-state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6233DB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lastRenderedPageBreak/>
        <w:t xml:space="preserve">American Medical Association. (2017).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State law chart: Nurse practitioner practice authority</w:t>
      </w:r>
      <w:r w:rsidRPr="0090030F">
        <w:rPr>
          <w:rFonts w:ascii="Times New Roman" w:hAnsi="Times New Roman" w:cs="Times New Roman"/>
          <w:sz w:val="24"/>
          <w:szCs w:val="24"/>
        </w:rPr>
        <w:t xml:space="preserve">. AMA. </w:t>
      </w:r>
      <w:hyperlink r:id="rId5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https://www.ama-assn.org/sites/ama-assn.org/files/corp/media-browser/specialty%20group/arc/ama-chart-np-practice-authority.pdf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C0CEF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Balestra, M. (2018). Telehealth and legal implications for nurse practitioners. The Journal for Nurse Practitioners, 14(1), 33–39.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https://doi.org/10.1016/j.nurpra.2017.10.003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6390565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Bates, D. W., &amp; Singh, H. (2018). Two decades since to err is human: an assessment of progress and emerging priorities in patient safety.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Affairs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(11), 1736-1743.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10.1377/hlthaff.2018.0738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0AA04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t xml:space="preserve">Commonwealth of Massachusetts. (2023).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Mandated reporting</w:t>
      </w:r>
      <w:r w:rsidRPr="0090030F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https://www.mass.gov/service-details/mandated-reporting#:~:text=A%20physician%20or%20other%20health,any%20of%20the%20Board's%20regulations</w:t>
        </w:r>
      </w:hyperlink>
      <w:r w:rsidRPr="0090030F">
        <w:rPr>
          <w:rFonts w:ascii="Times New Roman" w:hAnsi="Times New Roman" w:cs="Times New Roman"/>
          <w:sz w:val="24"/>
          <w:szCs w:val="24"/>
        </w:rPr>
        <w:t>.</w:t>
      </w:r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72961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oel, L. A. (2022). Advanced practice nursing: Essentials for role development (5th ed). F. A. Davis Company.</w:t>
      </w:r>
    </w:p>
    <w:p w14:paraId="455B447B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t xml:space="preserve">Katz, E. D. (2019). Defensive Medicine: A Case and Review of Its Status and Possible Solutions.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Clinical Practice and Cases in Emergency Medicine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0030F">
        <w:rPr>
          <w:rFonts w:ascii="Times New Roman" w:hAnsi="Times New Roman" w:cs="Times New Roman"/>
          <w:sz w:val="24"/>
          <w:szCs w:val="24"/>
        </w:rPr>
        <w:t xml:space="preserve">(4), 329-332. </w:t>
      </w:r>
      <w:hyperlink r:id="rId9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https://doi.org/10.5811/cpcem.2019.9.43975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EFF25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</w:rPr>
        <w:t>Kleinpell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R., Myers, C. R.,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Schorn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N. (2023). Addressing Barriers to APRN Practice: Policy and Regulatory Implications During COVID-19.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Journal of Nursing Regulation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0030F">
        <w:rPr>
          <w:rFonts w:ascii="Times New Roman" w:hAnsi="Times New Roman" w:cs="Times New Roman"/>
          <w:sz w:val="24"/>
          <w:szCs w:val="24"/>
        </w:rPr>
        <w:t xml:space="preserve">(1), 13-20. </w:t>
      </w:r>
      <w:hyperlink r:id="rId10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https://doi.org/10.1016/S2155-8256(23)00064-9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F0DD4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t xml:space="preserve">Mello, M. M.,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Frakes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D.,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Blumenkranz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D. M. (2020). Malpractice Liability and Health Care Quality.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323</w:t>
      </w:r>
      <w:r w:rsidRPr="0090030F">
        <w:rPr>
          <w:rFonts w:ascii="Times New Roman" w:hAnsi="Times New Roman" w:cs="Times New Roman"/>
          <w:sz w:val="24"/>
          <w:szCs w:val="24"/>
        </w:rPr>
        <w:t xml:space="preserve">(4), 352. </w:t>
      </w:r>
      <w:hyperlink r:id="rId11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https://doi.org/10.1001/jama.2019.21411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23A42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Myers, L. C., Sawicki, D., Heard, L., Camargo Jr, C. A., &amp; Mort, E. (2021). A description of medical malpractice claims involving advanced practice providers.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Healthcare Risk Management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(3), 8-16.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10.1002/jhrm.21412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1D151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</w:rPr>
        <w:t>Reschovsky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J. D. (2018). Malpractice Claim Fears and the Costs of Treating Medicare Patients: A New Approach to Estimating the Costs of Defensive Medicine.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Health Services Research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90030F">
        <w:rPr>
          <w:rFonts w:ascii="Times New Roman" w:hAnsi="Times New Roman" w:cs="Times New Roman"/>
          <w:sz w:val="24"/>
          <w:szCs w:val="24"/>
        </w:rPr>
        <w:t xml:space="preserve">(3), 1498-1516. </w:t>
      </w:r>
      <w:hyperlink r:id="rId13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https://doi.org/10.1111/1475-6773.12660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7D404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 D. M., &amp; Mello, M. M. (2018). In from the Cold: Law's Evolving Role in Patient Safety.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DePaul L. Rev.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68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 421.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https://via.library.depaul.edu/cgi/viewcontent.cgi?article=4089&amp;context=law-review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CD4AC8" w14:textId="77777777" w:rsidR="0090030F" w:rsidRPr="0090030F" w:rsidRDefault="0090030F" w:rsidP="009C217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M., </w:t>
      </w:r>
      <w:proofErr w:type="spellStart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Spittal</w:t>
      </w:r>
      <w:proofErr w:type="spellEnd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 M. J., Zhang, Y., Wilkinson, D. S., Singh, H., &amp; Mello, M. M. (2019). Changes in practice among physicians with malpractice claims.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England Journal of Medicine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380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(13), 1247-1255.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5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10.1056/NEJMsa1809981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90030F" w:rsidRPr="00900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B5"/>
    <w:rsid w:val="00073651"/>
    <w:rsid w:val="000B537D"/>
    <w:rsid w:val="000C5B81"/>
    <w:rsid w:val="000C5DA1"/>
    <w:rsid w:val="000D3B18"/>
    <w:rsid w:val="000F2E09"/>
    <w:rsid w:val="000F30C0"/>
    <w:rsid w:val="001172BF"/>
    <w:rsid w:val="0013023E"/>
    <w:rsid w:val="00156C3E"/>
    <w:rsid w:val="00161236"/>
    <w:rsid w:val="00181061"/>
    <w:rsid w:val="001920B4"/>
    <w:rsid w:val="001A32D1"/>
    <w:rsid w:val="001C1DA7"/>
    <w:rsid w:val="001D1DA6"/>
    <w:rsid w:val="001D2F7A"/>
    <w:rsid w:val="001F4A02"/>
    <w:rsid w:val="002029BD"/>
    <w:rsid w:val="00231065"/>
    <w:rsid w:val="00237029"/>
    <w:rsid w:val="002408D2"/>
    <w:rsid w:val="002539B1"/>
    <w:rsid w:val="00272025"/>
    <w:rsid w:val="00290D4C"/>
    <w:rsid w:val="002D654B"/>
    <w:rsid w:val="00302700"/>
    <w:rsid w:val="0030283F"/>
    <w:rsid w:val="003B5415"/>
    <w:rsid w:val="003D0663"/>
    <w:rsid w:val="003F6485"/>
    <w:rsid w:val="00413924"/>
    <w:rsid w:val="004218B0"/>
    <w:rsid w:val="004275F8"/>
    <w:rsid w:val="00450818"/>
    <w:rsid w:val="004A7E78"/>
    <w:rsid w:val="004B3DF5"/>
    <w:rsid w:val="004D11A9"/>
    <w:rsid w:val="004F6AC6"/>
    <w:rsid w:val="00516E91"/>
    <w:rsid w:val="005A7BF9"/>
    <w:rsid w:val="00654A5B"/>
    <w:rsid w:val="00655903"/>
    <w:rsid w:val="00702BC0"/>
    <w:rsid w:val="00726400"/>
    <w:rsid w:val="00746FAC"/>
    <w:rsid w:val="00796C4F"/>
    <w:rsid w:val="007A5DD3"/>
    <w:rsid w:val="007D1BCA"/>
    <w:rsid w:val="007D3778"/>
    <w:rsid w:val="00826115"/>
    <w:rsid w:val="008462F2"/>
    <w:rsid w:val="00846E81"/>
    <w:rsid w:val="00887165"/>
    <w:rsid w:val="008B0273"/>
    <w:rsid w:val="008B384E"/>
    <w:rsid w:val="008B52E0"/>
    <w:rsid w:val="008F49D4"/>
    <w:rsid w:val="0090030F"/>
    <w:rsid w:val="00914040"/>
    <w:rsid w:val="009757C7"/>
    <w:rsid w:val="00981A07"/>
    <w:rsid w:val="009C2179"/>
    <w:rsid w:val="009D2F03"/>
    <w:rsid w:val="009E4510"/>
    <w:rsid w:val="009E6D9A"/>
    <w:rsid w:val="00A1047D"/>
    <w:rsid w:val="00A17CF7"/>
    <w:rsid w:val="00AD527D"/>
    <w:rsid w:val="00AF6867"/>
    <w:rsid w:val="00B411BA"/>
    <w:rsid w:val="00B57EFE"/>
    <w:rsid w:val="00B76BF0"/>
    <w:rsid w:val="00B8788E"/>
    <w:rsid w:val="00B95314"/>
    <w:rsid w:val="00BA0D9A"/>
    <w:rsid w:val="00BB1A3B"/>
    <w:rsid w:val="00BD35E0"/>
    <w:rsid w:val="00BD4498"/>
    <w:rsid w:val="00BF3AFC"/>
    <w:rsid w:val="00C068B5"/>
    <w:rsid w:val="00C343FC"/>
    <w:rsid w:val="00C550BB"/>
    <w:rsid w:val="00CA5635"/>
    <w:rsid w:val="00CC231B"/>
    <w:rsid w:val="00CF12E2"/>
    <w:rsid w:val="00D0703D"/>
    <w:rsid w:val="00D13D26"/>
    <w:rsid w:val="00DD6CE6"/>
    <w:rsid w:val="00DF1796"/>
    <w:rsid w:val="00E57EBA"/>
    <w:rsid w:val="00E74A88"/>
    <w:rsid w:val="00EB5FC9"/>
    <w:rsid w:val="00EE0F72"/>
    <w:rsid w:val="00EE30D5"/>
    <w:rsid w:val="00F239EB"/>
    <w:rsid w:val="00FA7239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652A"/>
  <w15:chartTrackingRefBased/>
  <w15:docId w15:val="{65FE89CE-02F7-41D1-9226-1E708160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F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mandated-reporting#:~:text=A%20physician%20or%20other%20health,any%20of%20the%20Board's%20regulations" TargetMode="External"/><Relationship Id="rId13" Type="http://schemas.openxmlformats.org/officeDocument/2006/relationships/hyperlink" Target="https://doi.org/10.1111/1475-6773.12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7/hlthaff.2018.0738" TargetMode="External"/><Relationship Id="rId12" Type="http://schemas.openxmlformats.org/officeDocument/2006/relationships/hyperlink" Target="https://doi.org/10.1002/jhrm.2141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nurpra.2017.10.003" TargetMode="External"/><Relationship Id="rId11" Type="http://schemas.openxmlformats.org/officeDocument/2006/relationships/hyperlink" Target="https://doi.org/10.1001/jama.2019.21411" TargetMode="External"/><Relationship Id="rId5" Type="http://schemas.openxmlformats.org/officeDocument/2006/relationships/hyperlink" Target="https://www.ama-assn.org/sites/ama-assn.org/files/corp/media-browser/specialty%20group/arc/ama-chart-np-practice-authority.pdf" TargetMode="External"/><Relationship Id="rId15" Type="http://schemas.openxmlformats.org/officeDocument/2006/relationships/hyperlink" Target="https://doi.org/10.1056/NEJMsa1809981" TargetMode="External"/><Relationship Id="rId10" Type="http://schemas.openxmlformats.org/officeDocument/2006/relationships/hyperlink" Target="https://doi.org/10.1016/S2155-8256(23)00064-9" TargetMode="External"/><Relationship Id="rId4" Type="http://schemas.openxmlformats.org/officeDocument/2006/relationships/hyperlink" Target="https://www.aanp.org/practice/practice-information-by-state" TargetMode="External"/><Relationship Id="rId9" Type="http://schemas.openxmlformats.org/officeDocument/2006/relationships/hyperlink" Target="https://doi.org/10.5811/cpcem.2019.9.43975" TargetMode="External"/><Relationship Id="rId14" Type="http://schemas.openxmlformats.org/officeDocument/2006/relationships/hyperlink" Target="https://via.library.depaul.edu/cgi/viewcontent.cgi?article=4089&amp;context=law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2023-06-27T19:04:00Z</dcterms:created>
  <dcterms:modified xsi:type="dcterms:W3CDTF">2023-06-28T01:04:00Z</dcterms:modified>
</cp:coreProperties>
</file>