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51DF" w14:textId="10730A31" w:rsidR="002534FA" w:rsidRDefault="002534FA" w:rsidP="002534FA">
      <w:pPr>
        <w:jc w:val="center"/>
        <w:rPr>
          <w:b/>
          <w:bCs/>
          <w:u w:val="single"/>
        </w:rPr>
      </w:pPr>
      <w:r>
        <w:rPr>
          <w:b/>
          <w:bCs/>
          <w:u w:val="single"/>
        </w:rPr>
        <w:t xml:space="preserve">SOAP NOTE: </w:t>
      </w:r>
      <w:r w:rsidR="00506BCE">
        <w:rPr>
          <w:b/>
          <w:bCs/>
          <w:u w:val="single"/>
        </w:rPr>
        <w:t>Knee Osteoarthritis</w:t>
      </w:r>
    </w:p>
    <w:p w14:paraId="78549CF1" w14:textId="77777777" w:rsidR="002534FA" w:rsidRPr="002F33D7" w:rsidRDefault="002534FA" w:rsidP="002534FA">
      <w:pPr>
        <w:jc w:val="center"/>
        <w:rPr>
          <w:b/>
          <w:bCs/>
        </w:rPr>
      </w:pPr>
      <w:r>
        <w:rPr>
          <w:b/>
          <w:bCs/>
        </w:rPr>
        <w:t>SUBJECTIVE</w:t>
      </w:r>
    </w:p>
    <w:p w14:paraId="6115CDF3" w14:textId="0B80DB5B" w:rsidR="002534FA" w:rsidRDefault="00E8189B" w:rsidP="002534FA">
      <w:r>
        <w:rPr>
          <w:b/>
          <w:bCs/>
          <w:u w:val="single"/>
        </w:rPr>
        <w:t>Name (initials)</w:t>
      </w:r>
      <w:r w:rsidR="002534FA" w:rsidRPr="00D86F33">
        <w:rPr>
          <w:b/>
          <w:bCs/>
          <w:u w:val="single"/>
        </w:rPr>
        <w:t>:</w:t>
      </w:r>
      <w:r w:rsidR="002534FA">
        <w:t xml:space="preserve"> </w:t>
      </w:r>
      <w:r w:rsidR="00A56A32">
        <w:t>S.M.</w:t>
      </w:r>
    </w:p>
    <w:p w14:paraId="1C8ABB9F" w14:textId="3B653B2E" w:rsidR="002534FA" w:rsidRDefault="00E8189B" w:rsidP="002534FA">
      <w:r>
        <w:rPr>
          <w:b/>
          <w:bCs/>
          <w:u w:val="single"/>
        </w:rPr>
        <w:t>Age</w:t>
      </w:r>
      <w:r w:rsidR="002534FA" w:rsidRPr="00D86F33">
        <w:rPr>
          <w:b/>
          <w:bCs/>
          <w:u w:val="single"/>
        </w:rPr>
        <w:t>:</w:t>
      </w:r>
      <w:r w:rsidR="002534FA">
        <w:t xml:space="preserve"> </w:t>
      </w:r>
      <w:r w:rsidR="00DA5FC8">
        <w:t>65</w:t>
      </w:r>
    </w:p>
    <w:p w14:paraId="114C7C29" w14:textId="60FDBEA7" w:rsidR="002534FA" w:rsidRDefault="002534FA" w:rsidP="002534FA">
      <w:r w:rsidRPr="00D86F33">
        <w:rPr>
          <w:b/>
          <w:bCs/>
          <w:u w:val="single"/>
        </w:rPr>
        <w:t>Gender:</w:t>
      </w:r>
      <w:r>
        <w:t xml:space="preserve"> </w:t>
      </w:r>
      <w:r w:rsidR="00A56A32">
        <w:t>Female</w:t>
      </w:r>
    </w:p>
    <w:p w14:paraId="3DE8825F" w14:textId="5506A002" w:rsidR="00E8189B" w:rsidRPr="00A56A32" w:rsidRDefault="00E8189B" w:rsidP="002534FA">
      <w:r w:rsidRPr="00E8189B">
        <w:rPr>
          <w:b/>
          <w:bCs/>
          <w:u w:val="single"/>
        </w:rPr>
        <w:t>Source of Information:</w:t>
      </w:r>
      <w:r w:rsidR="00A56A32">
        <w:t xml:space="preserve"> Patient</w:t>
      </w:r>
    </w:p>
    <w:p w14:paraId="14C93521" w14:textId="139EDEE5" w:rsidR="00E8189B" w:rsidRPr="00A56A32" w:rsidRDefault="00E8189B" w:rsidP="002534FA">
      <w:r w:rsidRPr="00E8189B">
        <w:rPr>
          <w:b/>
          <w:bCs/>
          <w:u w:val="single"/>
        </w:rPr>
        <w:t>Reliability of Information:</w:t>
      </w:r>
      <w:r w:rsidR="00A56A32">
        <w:t xml:space="preserve"> Reliable</w:t>
      </w:r>
    </w:p>
    <w:p w14:paraId="3E43E99E" w14:textId="77777777" w:rsidR="002534FA" w:rsidRDefault="002534FA" w:rsidP="002534FA">
      <w:pPr>
        <w:rPr>
          <w:b/>
          <w:bCs/>
        </w:rPr>
      </w:pPr>
      <w:r w:rsidRPr="00D86F33">
        <w:rPr>
          <w:b/>
          <w:bCs/>
          <w:u w:val="single"/>
        </w:rPr>
        <w:t>Chief complaint:</w:t>
      </w:r>
      <w:r>
        <w:rPr>
          <w:b/>
          <w:bCs/>
        </w:rPr>
        <w:t xml:space="preserve"> </w:t>
      </w:r>
    </w:p>
    <w:p w14:paraId="4E661921" w14:textId="1004ABBF" w:rsidR="002534FA" w:rsidRDefault="0050681E" w:rsidP="002534FA">
      <w:r>
        <w:t xml:space="preserve">“I have been experiencing pain in my right knee for about </w:t>
      </w:r>
      <w:r w:rsidR="0047082A">
        <w:t>eight</w:t>
      </w:r>
      <w:r>
        <w:t xml:space="preserve"> months</w:t>
      </w:r>
      <w:r w:rsidR="007B5AA8">
        <w:t xml:space="preserve"> </w:t>
      </w:r>
      <w:r w:rsidR="0047082A">
        <w:t xml:space="preserve">but has </w:t>
      </w:r>
      <w:r w:rsidR="00C60F4D">
        <w:t>recently worsened</w:t>
      </w:r>
      <w:r>
        <w:t>”</w:t>
      </w:r>
    </w:p>
    <w:p w14:paraId="3DDEF2D0" w14:textId="77777777" w:rsidR="002534FA" w:rsidRDefault="002534FA" w:rsidP="002534FA">
      <w:pPr>
        <w:rPr>
          <w:b/>
          <w:bCs/>
          <w:u w:val="single"/>
        </w:rPr>
      </w:pPr>
      <w:r>
        <w:rPr>
          <w:b/>
          <w:bCs/>
          <w:u w:val="single"/>
        </w:rPr>
        <w:t>History of Presenting Illness</w:t>
      </w:r>
    </w:p>
    <w:p w14:paraId="2D15D7A7" w14:textId="15808F7C" w:rsidR="002534FA" w:rsidRDefault="00247A04" w:rsidP="002534FA">
      <w:r>
        <w:t xml:space="preserve">Ms. S.M. is a </w:t>
      </w:r>
      <w:r w:rsidR="00DA5FC8">
        <w:t>65</w:t>
      </w:r>
      <w:r>
        <w:t xml:space="preserve">-year-old </w:t>
      </w:r>
      <w:r w:rsidR="007B5AA8">
        <w:t xml:space="preserve">African American woman </w:t>
      </w:r>
      <w:r w:rsidR="005C2311">
        <w:t xml:space="preserve">with a history of hyperlipidemia </w:t>
      </w:r>
      <w:r w:rsidR="007B5AA8">
        <w:t xml:space="preserve">presenting to the clinic </w:t>
      </w:r>
      <w:r w:rsidR="001B458C">
        <w:t xml:space="preserve">complaining of pain in her right knee for the past </w:t>
      </w:r>
      <w:r w:rsidR="00C60F4D">
        <w:t>eight</w:t>
      </w:r>
      <w:r w:rsidR="001B458C">
        <w:t xml:space="preserve"> months. She states that the pain has worsened in the past two weeks.</w:t>
      </w:r>
      <w:r w:rsidR="00065873">
        <w:t xml:space="preserve"> In addition, she reports that the pain has been</w:t>
      </w:r>
      <w:r w:rsidR="00D06A75">
        <w:t xml:space="preserve"> sharp,</w:t>
      </w:r>
      <w:r w:rsidR="00065873">
        <w:t xml:space="preserve"> aching</w:t>
      </w:r>
      <w:r w:rsidR="00D06A75">
        <w:t>, and constant</w:t>
      </w:r>
      <w:r w:rsidR="00065873">
        <w:t xml:space="preserve">, rating it </w:t>
      </w:r>
      <w:r w:rsidR="00C60F4D">
        <w:t>7</w:t>
      </w:r>
      <w:r w:rsidR="00065873">
        <w:t xml:space="preserve"> on a scale of 0-10.</w:t>
      </w:r>
      <w:r w:rsidR="007207A3">
        <w:t xml:space="preserve"> The knee has been feeling “a bit stiff of late.”</w:t>
      </w:r>
      <w:r w:rsidR="00065873">
        <w:t xml:space="preserve"> The pain has been worsening at night and with movements such as </w:t>
      </w:r>
      <w:r w:rsidR="000B3A2D">
        <w:t>going down a flight of stairs or walking for some distance. She states that the pain is better in the morning, with acetaminophen 500 mg relieving it partially. She reports a grinding sensation w</w:t>
      </w:r>
      <w:r w:rsidR="003C3367">
        <w:t>hen moving her right knee. The patient denies any recent trauma or experiencing popping sounds from the knee. She also denies malaise, fever, or chills. The pain has been affecting her activities</w:t>
      </w:r>
      <w:r w:rsidR="00EB15E8">
        <w:t xml:space="preserve"> – “I can no longer walk my dog or go down the grocery store with this pain.” </w:t>
      </w:r>
      <w:r w:rsidR="00E507C9">
        <w:t xml:space="preserve">She reports engaging in </w:t>
      </w:r>
      <w:r w:rsidR="00256F45">
        <w:t xml:space="preserve">low-intensity physical activities such as </w:t>
      </w:r>
      <w:r w:rsidR="003A5BF2">
        <w:t xml:space="preserve">walking and jogging, but the pain has impeded her from them. The patient reports seeing her primary care provider every year. </w:t>
      </w:r>
    </w:p>
    <w:p w14:paraId="39FEDD16" w14:textId="526AF966" w:rsidR="002534FA" w:rsidRDefault="002534FA" w:rsidP="002534FA">
      <w:r w:rsidRPr="000B0368">
        <w:rPr>
          <w:b/>
          <w:bCs/>
        </w:rPr>
        <w:lastRenderedPageBreak/>
        <w:t>O:</w:t>
      </w:r>
      <w:r>
        <w:t xml:space="preserve"> </w:t>
      </w:r>
      <w:r w:rsidR="00C60F4D">
        <w:t>Eight</w:t>
      </w:r>
      <w:r w:rsidR="003A5BF2">
        <w:t xml:space="preserve"> months ago</w:t>
      </w:r>
    </w:p>
    <w:p w14:paraId="01747069" w14:textId="3F6AA0BE" w:rsidR="002534FA" w:rsidRPr="000B0368" w:rsidRDefault="002534FA" w:rsidP="002534FA">
      <w:r w:rsidRPr="000B0368">
        <w:rPr>
          <w:b/>
          <w:bCs/>
        </w:rPr>
        <w:t>L</w:t>
      </w:r>
      <w:r>
        <w:rPr>
          <w:b/>
          <w:bCs/>
        </w:rPr>
        <w:t xml:space="preserve">: </w:t>
      </w:r>
      <w:r w:rsidR="003A5BF2" w:rsidRPr="003A5BF2">
        <w:t>Right knee</w:t>
      </w:r>
    </w:p>
    <w:p w14:paraId="6B091055" w14:textId="341816B0" w:rsidR="002534FA" w:rsidRPr="0097498A" w:rsidRDefault="002534FA" w:rsidP="002534FA">
      <w:r w:rsidRPr="001C3A76">
        <w:rPr>
          <w:b/>
          <w:bCs/>
        </w:rPr>
        <w:t>D</w:t>
      </w:r>
      <w:r>
        <w:rPr>
          <w:b/>
          <w:bCs/>
        </w:rPr>
        <w:t xml:space="preserve">: </w:t>
      </w:r>
      <w:r w:rsidR="0097498A">
        <w:t>No similar episodes</w:t>
      </w:r>
    </w:p>
    <w:p w14:paraId="55C482D1" w14:textId="5CB79B35" w:rsidR="002534FA" w:rsidRPr="00D06A75" w:rsidRDefault="002534FA" w:rsidP="002534FA">
      <w:r w:rsidRPr="001C3A76">
        <w:rPr>
          <w:b/>
          <w:bCs/>
        </w:rPr>
        <w:t>C</w:t>
      </w:r>
      <w:r>
        <w:rPr>
          <w:b/>
          <w:bCs/>
        </w:rPr>
        <w:t xml:space="preserve">: </w:t>
      </w:r>
      <w:r w:rsidR="00D06A75">
        <w:t>Sharp and aching</w:t>
      </w:r>
    </w:p>
    <w:p w14:paraId="6EDB6D8E" w14:textId="7AF89497" w:rsidR="002534FA" w:rsidRPr="00EC26C5" w:rsidRDefault="002534FA" w:rsidP="002534FA">
      <w:r w:rsidRPr="0078726B">
        <w:rPr>
          <w:b/>
          <w:bCs/>
        </w:rPr>
        <w:t>A</w:t>
      </w:r>
      <w:r>
        <w:rPr>
          <w:b/>
          <w:bCs/>
        </w:rPr>
        <w:t xml:space="preserve">: </w:t>
      </w:r>
      <w:r w:rsidR="0006575D" w:rsidRPr="0006575D">
        <w:t>R</w:t>
      </w:r>
      <w:r w:rsidR="0006575D">
        <w:t xml:space="preserve">elieved by rest and acetaminophen 500mg; exacerbated by </w:t>
      </w:r>
      <w:r w:rsidR="00304C98">
        <w:t>movement</w:t>
      </w:r>
    </w:p>
    <w:p w14:paraId="7306D46C" w14:textId="4D1E5EFE" w:rsidR="002534FA" w:rsidRPr="000153FB" w:rsidRDefault="002534FA" w:rsidP="002534FA">
      <w:r w:rsidRPr="000153FB">
        <w:rPr>
          <w:b/>
          <w:bCs/>
        </w:rPr>
        <w:t>R</w:t>
      </w:r>
      <w:r>
        <w:rPr>
          <w:b/>
          <w:bCs/>
        </w:rPr>
        <w:t>:</w:t>
      </w:r>
      <w:r>
        <w:t xml:space="preserve"> </w:t>
      </w:r>
      <w:r w:rsidR="00304C98">
        <w:t>No radiation</w:t>
      </w:r>
    </w:p>
    <w:p w14:paraId="68102C8B" w14:textId="6FA329A5" w:rsidR="002534FA" w:rsidRPr="000153FB" w:rsidRDefault="002534FA" w:rsidP="002534FA">
      <w:pPr>
        <w:rPr>
          <w:b/>
          <w:bCs/>
        </w:rPr>
      </w:pPr>
      <w:r w:rsidRPr="000153FB">
        <w:rPr>
          <w:b/>
          <w:bCs/>
        </w:rPr>
        <w:t>T</w:t>
      </w:r>
      <w:r>
        <w:rPr>
          <w:b/>
          <w:bCs/>
        </w:rPr>
        <w:t>:</w:t>
      </w:r>
      <w:r w:rsidR="00304C98">
        <w:rPr>
          <w:b/>
          <w:bCs/>
        </w:rPr>
        <w:t xml:space="preserve"> </w:t>
      </w:r>
      <w:r w:rsidR="00304C98">
        <w:t>Constant</w:t>
      </w:r>
      <w:r>
        <w:rPr>
          <w:b/>
          <w:bCs/>
        </w:rPr>
        <w:t xml:space="preserve"> </w:t>
      </w:r>
    </w:p>
    <w:p w14:paraId="4F89AD55" w14:textId="19D2AC05" w:rsidR="002534FA" w:rsidRPr="000153FB" w:rsidRDefault="002534FA" w:rsidP="002534FA">
      <w:r w:rsidRPr="000153FB">
        <w:rPr>
          <w:b/>
          <w:bCs/>
        </w:rPr>
        <w:t>S</w:t>
      </w:r>
      <w:r>
        <w:rPr>
          <w:b/>
          <w:bCs/>
        </w:rPr>
        <w:t xml:space="preserve">: </w:t>
      </w:r>
      <w:r w:rsidR="00C60F4D">
        <w:t>7</w:t>
      </w:r>
      <w:r w:rsidR="00304C98" w:rsidRPr="00304C98">
        <w:t xml:space="preserve"> out of 10</w:t>
      </w:r>
    </w:p>
    <w:p w14:paraId="6FCB71BD" w14:textId="77777777" w:rsidR="002534FA" w:rsidRPr="00D86F33" w:rsidRDefault="002534FA" w:rsidP="002534FA">
      <w:pPr>
        <w:rPr>
          <w:b/>
          <w:bCs/>
          <w:u w:val="single"/>
        </w:rPr>
      </w:pPr>
      <w:r w:rsidRPr="00D86F33">
        <w:rPr>
          <w:b/>
          <w:bCs/>
          <w:u w:val="single"/>
        </w:rPr>
        <w:t>Review of Focus System(s)</w:t>
      </w:r>
    </w:p>
    <w:p w14:paraId="6AD75406" w14:textId="3FD9D3F4" w:rsidR="002534FA" w:rsidRPr="00EA17D9" w:rsidRDefault="002534FA" w:rsidP="002534FA">
      <w:r>
        <w:rPr>
          <w:b/>
          <w:bCs/>
        </w:rPr>
        <w:t xml:space="preserve">Constitutional: </w:t>
      </w:r>
      <w:r w:rsidR="00EA17D9">
        <w:t>Denies fever, chills, malaise, or fatigue</w:t>
      </w:r>
    </w:p>
    <w:p w14:paraId="61BF4777" w14:textId="5099BF9F" w:rsidR="002534FA" w:rsidRPr="00EA17D9" w:rsidRDefault="00EA17D9" w:rsidP="002534FA">
      <w:r>
        <w:rPr>
          <w:b/>
          <w:bCs/>
        </w:rPr>
        <w:t xml:space="preserve">Cardiovascular: </w:t>
      </w:r>
      <w:r>
        <w:t>Denies chest pain, palpitations, or edema in the extremities</w:t>
      </w:r>
    </w:p>
    <w:p w14:paraId="02257F9E" w14:textId="5E1836CC" w:rsidR="002534FA" w:rsidRDefault="001F7EF1" w:rsidP="002534FA">
      <w:r>
        <w:rPr>
          <w:b/>
          <w:bCs/>
        </w:rPr>
        <w:t xml:space="preserve">Respiratory: </w:t>
      </w:r>
      <w:r>
        <w:t>Denies trouble breathing, shortness of breath, or wheezing</w:t>
      </w:r>
    </w:p>
    <w:p w14:paraId="61FB242C" w14:textId="004F35D5" w:rsidR="00FA27A7" w:rsidRDefault="00FA27A7" w:rsidP="002534FA">
      <w:r>
        <w:rPr>
          <w:b/>
          <w:bCs/>
        </w:rPr>
        <w:t xml:space="preserve">Musculoskeletal: </w:t>
      </w:r>
      <w:r>
        <w:t>Reports right knee pain</w:t>
      </w:r>
      <w:r w:rsidR="007207A3">
        <w:t>,</w:t>
      </w:r>
      <w:r>
        <w:t xml:space="preserve"> grinding sound on movement</w:t>
      </w:r>
      <w:r w:rsidR="007207A3">
        <w:t>, and s</w:t>
      </w:r>
      <w:r w:rsidR="00C159AC">
        <w:t>t</w:t>
      </w:r>
      <w:r w:rsidR="007207A3">
        <w:t>iffness</w:t>
      </w:r>
      <w:r>
        <w:t>; denies popping</w:t>
      </w:r>
      <w:r w:rsidR="0062208E">
        <w:t xml:space="preserve"> or clinking sound; denies visible knee swelling</w:t>
      </w:r>
    </w:p>
    <w:p w14:paraId="79D0E4A6" w14:textId="35FD5A44" w:rsidR="00C159AC" w:rsidRPr="00C159AC" w:rsidRDefault="00C159AC" w:rsidP="002534FA">
      <w:r w:rsidRPr="00C159AC">
        <w:rPr>
          <w:b/>
          <w:bCs/>
        </w:rPr>
        <w:t>Neurological:</w:t>
      </w:r>
      <w:r>
        <w:t xml:space="preserve"> Denies changes in vision, headaches, numbness, tingling sensation, or seizures</w:t>
      </w:r>
    </w:p>
    <w:p w14:paraId="739D8CA3" w14:textId="44D53B2D" w:rsidR="002534FA" w:rsidRPr="0053768F" w:rsidRDefault="002534FA" w:rsidP="002534FA">
      <w:r>
        <w:rPr>
          <w:b/>
          <w:bCs/>
        </w:rPr>
        <w:t xml:space="preserve">Gastrointestinal: </w:t>
      </w:r>
      <w:r w:rsidR="0053768F">
        <w:t>Denies abdominal pain, cramping, constipation, diarrhea, nausea, or vomiting</w:t>
      </w:r>
    </w:p>
    <w:p w14:paraId="15F2630D" w14:textId="77777777" w:rsidR="002534FA" w:rsidRPr="00FC1372" w:rsidRDefault="002534FA" w:rsidP="002534FA">
      <w:pPr>
        <w:rPr>
          <w:b/>
          <w:bCs/>
          <w:u w:val="single"/>
        </w:rPr>
      </w:pPr>
      <w:r w:rsidRPr="00FC1372">
        <w:rPr>
          <w:b/>
          <w:bCs/>
          <w:u w:val="single"/>
        </w:rPr>
        <w:t>Medications/Allergies</w:t>
      </w:r>
    </w:p>
    <w:p w14:paraId="1518FC2B" w14:textId="09067C50" w:rsidR="00525E77" w:rsidRDefault="00525E77" w:rsidP="002534FA">
      <w:pPr>
        <w:pStyle w:val="ListParagraph"/>
        <w:numPr>
          <w:ilvl w:val="0"/>
          <w:numId w:val="2"/>
        </w:numPr>
      </w:pPr>
      <w:r>
        <w:t xml:space="preserve">Atorvastatin 20mg </w:t>
      </w:r>
      <w:r w:rsidR="007B3683">
        <w:t xml:space="preserve">PO </w:t>
      </w:r>
      <w:proofErr w:type="spellStart"/>
      <w:r w:rsidR="007B3683">
        <w:t>qDay</w:t>
      </w:r>
      <w:proofErr w:type="spellEnd"/>
      <w:r w:rsidR="00CD2928">
        <w:t xml:space="preserve"> for hyperlipidemia</w:t>
      </w:r>
    </w:p>
    <w:p w14:paraId="68FB3A6E" w14:textId="46C636E2" w:rsidR="002534FA" w:rsidRDefault="005C2311" w:rsidP="002534FA">
      <w:pPr>
        <w:pStyle w:val="ListParagraph"/>
        <w:numPr>
          <w:ilvl w:val="0"/>
          <w:numId w:val="2"/>
        </w:numPr>
      </w:pPr>
      <w:r>
        <w:t>Hydrochlorothiazide 12.5 mg PO</w:t>
      </w:r>
      <w:r w:rsidR="007B3683">
        <w:t xml:space="preserve"> </w:t>
      </w:r>
      <w:proofErr w:type="spellStart"/>
      <w:r w:rsidR="007B3683">
        <w:t>qDay</w:t>
      </w:r>
      <w:proofErr w:type="spellEnd"/>
      <w:r w:rsidR="00CD2928">
        <w:t xml:space="preserve"> for hyperlipidemia</w:t>
      </w:r>
    </w:p>
    <w:p w14:paraId="02F99E49" w14:textId="703933C4" w:rsidR="007B3683" w:rsidRDefault="007B3683" w:rsidP="002534FA">
      <w:pPr>
        <w:pStyle w:val="ListParagraph"/>
        <w:numPr>
          <w:ilvl w:val="0"/>
          <w:numId w:val="2"/>
        </w:numPr>
      </w:pPr>
      <w:r>
        <w:t xml:space="preserve">OTC acetaminophen </w:t>
      </w:r>
      <w:r w:rsidR="00CD2928">
        <w:t>500mg PO q6hr for knee pain</w:t>
      </w:r>
    </w:p>
    <w:p w14:paraId="5D83CB81" w14:textId="57C3E9B5" w:rsidR="005A2A4C" w:rsidRDefault="005A2A4C" w:rsidP="002534FA">
      <w:pPr>
        <w:pStyle w:val="ListParagraph"/>
        <w:numPr>
          <w:ilvl w:val="0"/>
          <w:numId w:val="2"/>
        </w:numPr>
      </w:pPr>
      <w:r>
        <w:t xml:space="preserve">Omega-3 250mg </w:t>
      </w:r>
      <w:proofErr w:type="spellStart"/>
      <w:r>
        <w:t>qDay</w:t>
      </w:r>
      <w:proofErr w:type="spellEnd"/>
    </w:p>
    <w:p w14:paraId="11E9B992" w14:textId="78FF6FB8" w:rsidR="005A2A4C" w:rsidRPr="00213DF5" w:rsidRDefault="005A2A4C" w:rsidP="002534FA">
      <w:pPr>
        <w:pStyle w:val="ListParagraph"/>
        <w:numPr>
          <w:ilvl w:val="0"/>
          <w:numId w:val="2"/>
        </w:numPr>
      </w:pPr>
      <w:r>
        <w:t>No known environmental, drug, or food allergies</w:t>
      </w:r>
    </w:p>
    <w:p w14:paraId="08FD6CF9" w14:textId="77777777" w:rsidR="002534FA" w:rsidRPr="00D86F33" w:rsidRDefault="002534FA" w:rsidP="002534FA">
      <w:pPr>
        <w:rPr>
          <w:b/>
          <w:bCs/>
          <w:u w:val="single"/>
        </w:rPr>
      </w:pPr>
      <w:r w:rsidRPr="00D86F33">
        <w:rPr>
          <w:b/>
          <w:bCs/>
          <w:u w:val="single"/>
        </w:rPr>
        <w:t>Past Medical History</w:t>
      </w:r>
    </w:p>
    <w:p w14:paraId="265AF04A" w14:textId="763040BC" w:rsidR="002534FA" w:rsidRDefault="00CD2928" w:rsidP="002534FA">
      <w:pPr>
        <w:pStyle w:val="ListParagraph"/>
        <w:numPr>
          <w:ilvl w:val="0"/>
          <w:numId w:val="1"/>
        </w:numPr>
      </w:pPr>
      <w:r>
        <w:lastRenderedPageBreak/>
        <w:t xml:space="preserve">Hyperlipidemia </w:t>
      </w:r>
      <w:r w:rsidR="008322D9">
        <w:t>– dx 2015</w:t>
      </w:r>
    </w:p>
    <w:p w14:paraId="343071BF" w14:textId="79841313" w:rsidR="0018612E" w:rsidRDefault="0018612E" w:rsidP="002534FA">
      <w:pPr>
        <w:pStyle w:val="ListParagraph"/>
        <w:numPr>
          <w:ilvl w:val="0"/>
          <w:numId w:val="1"/>
        </w:numPr>
      </w:pPr>
      <w:r>
        <w:t>Chickenpox – dx 19</w:t>
      </w:r>
      <w:r w:rsidR="00DA5FC8">
        <w:t>6</w:t>
      </w:r>
      <w:r w:rsidR="008C1212">
        <w:t>3</w:t>
      </w:r>
    </w:p>
    <w:p w14:paraId="09C108C0" w14:textId="77777777" w:rsidR="002534FA" w:rsidRDefault="002534FA" w:rsidP="002534FA">
      <w:pPr>
        <w:rPr>
          <w:b/>
          <w:bCs/>
          <w:u w:val="single"/>
        </w:rPr>
      </w:pPr>
      <w:r>
        <w:rPr>
          <w:b/>
          <w:bCs/>
          <w:u w:val="single"/>
        </w:rPr>
        <w:t>Past Surgical History</w:t>
      </w:r>
    </w:p>
    <w:p w14:paraId="4D795443" w14:textId="1064B21F" w:rsidR="002534FA" w:rsidRDefault="002534FA" w:rsidP="002534FA">
      <w:pPr>
        <w:pStyle w:val="ListParagraph"/>
        <w:numPr>
          <w:ilvl w:val="0"/>
          <w:numId w:val="1"/>
        </w:numPr>
      </w:pPr>
      <w:r>
        <w:t xml:space="preserve"> </w:t>
      </w:r>
      <w:r w:rsidR="008322D9">
        <w:t>Cesarean section (</w:t>
      </w:r>
      <w:r w:rsidR="00D11EA0">
        <w:t>19</w:t>
      </w:r>
      <w:r w:rsidR="008C1212">
        <w:t>85</w:t>
      </w:r>
      <w:r w:rsidR="00D11EA0">
        <w:t>)</w:t>
      </w:r>
    </w:p>
    <w:p w14:paraId="1C7538C2" w14:textId="5202D14E" w:rsidR="002534FA" w:rsidRDefault="002534FA" w:rsidP="007E1B86">
      <w:r>
        <w:rPr>
          <w:b/>
          <w:bCs/>
          <w:u w:val="single"/>
        </w:rPr>
        <w:t>Family History</w:t>
      </w:r>
      <w:r>
        <w:t xml:space="preserve"> </w:t>
      </w:r>
    </w:p>
    <w:p w14:paraId="580F363A" w14:textId="35873D6B" w:rsidR="002534FA" w:rsidRDefault="002534FA" w:rsidP="002534FA">
      <w:pPr>
        <w:pStyle w:val="ListParagraph"/>
        <w:numPr>
          <w:ilvl w:val="0"/>
          <w:numId w:val="1"/>
        </w:numPr>
      </w:pPr>
      <w:r>
        <w:t xml:space="preserve">Father – </w:t>
      </w:r>
      <w:r w:rsidR="008C1212">
        <w:t>deceased</w:t>
      </w:r>
      <w:r w:rsidR="007E1B86">
        <w:t xml:space="preserve"> (</w:t>
      </w:r>
      <w:r w:rsidR="008C1212">
        <w:t>92</w:t>
      </w:r>
      <w:r w:rsidR="007E1B86">
        <w:t xml:space="preserve"> years); rheumatoid arthritis</w:t>
      </w:r>
      <w:r w:rsidR="00620F02">
        <w:t xml:space="preserve"> and ulcerative colitis</w:t>
      </w:r>
    </w:p>
    <w:p w14:paraId="5AA04169" w14:textId="34F8602C" w:rsidR="002534FA" w:rsidRDefault="002534FA" w:rsidP="002534FA">
      <w:pPr>
        <w:pStyle w:val="ListParagraph"/>
        <w:numPr>
          <w:ilvl w:val="0"/>
          <w:numId w:val="1"/>
        </w:numPr>
      </w:pPr>
      <w:r>
        <w:t>Mother –</w:t>
      </w:r>
      <w:r w:rsidR="00620F02">
        <w:t xml:space="preserve"> alive (</w:t>
      </w:r>
      <w:r w:rsidR="008C1212">
        <w:t>90</w:t>
      </w:r>
      <w:r w:rsidR="00620F02">
        <w:t xml:space="preserve"> years); hypertension</w:t>
      </w:r>
    </w:p>
    <w:p w14:paraId="03313CA5" w14:textId="152D6D87" w:rsidR="00620F02" w:rsidRPr="00EE365E" w:rsidRDefault="00620F02" w:rsidP="002534FA">
      <w:pPr>
        <w:pStyle w:val="ListParagraph"/>
        <w:numPr>
          <w:ilvl w:val="0"/>
          <w:numId w:val="1"/>
        </w:numPr>
      </w:pPr>
      <w:r>
        <w:t>Brother – alive (</w:t>
      </w:r>
      <w:r w:rsidR="0019483D">
        <w:t>57</w:t>
      </w:r>
      <w:r>
        <w:t xml:space="preserve"> years); osteoarthritis and hypertension</w:t>
      </w:r>
    </w:p>
    <w:p w14:paraId="50FA3A07" w14:textId="77777777" w:rsidR="002534FA" w:rsidRPr="00EE365E" w:rsidRDefault="002534FA" w:rsidP="002534FA">
      <w:pPr>
        <w:rPr>
          <w:b/>
          <w:bCs/>
          <w:u w:val="single"/>
        </w:rPr>
      </w:pPr>
      <w:r w:rsidRPr="00EE365E">
        <w:rPr>
          <w:b/>
          <w:bCs/>
          <w:u w:val="single"/>
        </w:rPr>
        <w:t>Social History</w:t>
      </w:r>
    </w:p>
    <w:p w14:paraId="2A90F310" w14:textId="565B0D51" w:rsidR="002534FA" w:rsidRPr="009F26DC" w:rsidRDefault="002534FA" w:rsidP="002534FA">
      <w:r>
        <w:t xml:space="preserve"> </w:t>
      </w:r>
      <w:r w:rsidR="00A418B6">
        <w:t xml:space="preserve">S.M. </w:t>
      </w:r>
      <w:r w:rsidR="00A1543D">
        <w:t xml:space="preserve">is a mother of two and lives in a three-bedroom house with his husband and </w:t>
      </w:r>
      <w:r w:rsidR="00475BAD">
        <w:t>his 2</w:t>
      </w:r>
      <w:r w:rsidR="0019483D">
        <w:t>8</w:t>
      </w:r>
      <w:r w:rsidR="00475BAD">
        <w:t>-year-old lastborn son.</w:t>
      </w:r>
      <w:r w:rsidR="00F12552">
        <w:t xml:space="preserve"> She worked as a community health worker until 2018 when she took early retirement for personal reasons. </w:t>
      </w:r>
      <w:r w:rsidR="00D440B0">
        <w:t xml:space="preserve">S.M. denies smoking, vaping, or using other tobacco products or illicit drugs. </w:t>
      </w:r>
      <w:r w:rsidR="00966384">
        <w:t xml:space="preserve">She reports smoking marijuana while in college. </w:t>
      </w:r>
      <w:r w:rsidR="00A9169A">
        <w:t xml:space="preserve">She frequently enjoys a glass of cognac after dinner. </w:t>
      </w:r>
      <w:r w:rsidR="00752B94">
        <w:t>She owns a golden retriever</w:t>
      </w:r>
      <w:r w:rsidR="00AA05D0">
        <w:t xml:space="preserve">. The family owns </w:t>
      </w:r>
      <w:r w:rsidR="000F79AD">
        <w:t>a hunting rifle locked safely</w:t>
      </w:r>
      <w:r w:rsidR="00825111">
        <w:t xml:space="preserve"> and stored in her bedroom.</w:t>
      </w:r>
      <w:r w:rsidR="003424FB">
        <w:t xml:space="preserve"> She often spends her day working her garden, reading, or raising health awareness about chronic diseases in the community.</w:t>
      </w:r>
    </w:p>
    <w:p w14:paraId="15C98275" w14:textId="77777777" w:rsidR="002534FA" w:rsidRDefault="002534FA" w:rsidP="002534FA">
      <w:pPr>
        <w:rPr>
          <w:b/>
          <w:bCs/>
          <w:u w:val="single"/>
        </w:rPr>
      </w:pPr>
      <w:r>
        <w:rPr>
          <w:b/>
          <w:bCs/>
          <w:u w:val="single"/>
        </w:rPr>
        <w:t>Health Maintenance</w:t>
      </w:r>
    </w:p>
    <w:p w14:paraId="7D5233DC" w14:textId="7A870BF8" w:rsidR="00BB2ED1" w:rsidRPr="009F26DC" w:rsidRDefault="00825111" w:rsidP="00BB2ED1">
      <w:r>
        <w:t xml:space="preserve">S.M. </w:t>
      </w:r>
      <w:r w:rsidR="00CD19B8">
        <w:t xml:space="preserve">reports engaging in regular </w:t>
      </w:r>
      <w:r w:rsidR="006C17CA">
        <w:t xml:space="preserve">exercise, including jogging and walking, but her knee pain hinders her from the activities. </w:t>
      </w:r>
      <w:r w:rsidR="00491214">
        <w:t xml:space="preserve">She also reports hiking at least once every year and biking from time to time. </w:t>
      </w:r>
      <w:r w:rsidR="006C17CA">
        <w:t xml:space="preserve">She </w:t>
      </w:r>
      <w:r>
        <w:t>prepares all her family’s meals</w:t>
      </w:r>
      <w:r w:rsidR="006C17CA">
        <w:t xml:space="preserve"> and</w:t>
      </w:r>
      <w:r w:rsidR="00CD19B8">
        <w:t xml:space="preserve"> has remained watchful of the diet to ensure optimal health. </w:t>
      </w:r>
      <w:r w:rsidR="00BB2ED1">
        <w:t>Since her retirement, she has been having at least seven hours of uninterrupted sleep.</w:t>
      </w:r>
      <w:r w:rsidR="00C85AE9">
        <w:t xml:space="preserve"> She consistently takes the recommended vaccines for adults, including seasonal flu </w:t>
      </w:r>
      <w:r w:rsidR="00ED05CB">
        <w:t xml:space="preserve">shot, </w:t>
      </w:r>
      <w:r w:rsidR="00ED05CB">
        <w:lastRenderedPageBreak/>
        <w:t xml:space="preserve">Tdap vaccine, and shingles vaccine, every year. She identifies as a Christian and a devout member of the local Baptist church. </w:t>
      </w:r>
    </w:p>
    <w:p w14:paraId="53AA671E" w14:textId="77777777" w:rsidR="002534FA" w:rsidRDefault="002534FA" w:rsidP="002534FA">
      <w:pPr>
        <w:jc w:val="center"/>
        <w:rPr>
          <w:b/>
          <w:bCs/>
        </w:rPr>
      </w:pPr>
      <w:r>
        <w:rPr>
          <w:b/>
          <w:bCs/>
        </w:rPr>
        <w:t>OBJECTIVE</w:t>
      </w:r>
    </w:p>
    <w:p w14:paraId="4B42C995" w14:textId="77777777" w:rsidR="002534FA" w:rsidRPr="005E531C" w:rsidRDefault="002534FA" w:rsidP="002534FA">
      <w:pPr>
        <w:rPr>
          <w:b/>
          <w:bCs/>
        </w:rPr>
      </w:pPr>
      <w:r w:rsidRPr="005E531C">
        <w:rPr>
          <w:b/>
          <w:bCs/>
        </w:rPr>
        <w:t>Vitals</w:t>
      </w:r>
    </w:p>
    <w:p w14:paraId="5C3C313E" w14:textId="2A0A24C5" w:rsidR="002534FA" w:rsidRDefault="002534FA" w:rsidP="002534FA">
      <w:pPr>
        <w:ind w:left="720"/>
      </w:pPr>
      <w:proofErr w:type="spellStart"/>
      <w:r>
        <w:rPr>
          <w:b/>
          <w:bCs/>
        </w:rPr>
        <w:t>Wt</w:t>
      </w:r>
      <w:proofErr w:type="spellEnd"/>
      <w:r>
        <w:rPr>
          <w:b/>
          <w:bCs/>
        </w:rPr>
        <w:t xml:space="preserve">: </w:t>
      </w:r>
      <w:r w:rsidR="00762C8A" w:rsidRPr="00762C8A">
        <w:t>15</w:t>
      </w:r>
      <w:r w:rsidR="00656400">
        <w:t>0</w:t>
      </w:r>
      <w:r w:rsidR="00762C8A">
        <w:t>lb</w:t>
      </w:r>
    </w:p>
    <w:p w14:paraId="0C3A08BE" w14:textId="37C5E1E7" w:rsidR="002534FA" w:rsidRPr="00762C8A" w:rsidRDefault="002534FA" w:rsidP="002534FA">
      <w:pPr>
        <w:ind w:left="720"/>
        <w:rPr>
          <w:b/>
          <w:bCs/>
        </w:rPr>
      </w:pPr>
      <w:proofErr w:type="spellStart"/>
      <w:r w:rsidRPr="0095217C">
        <w:rPr>
          <w:b/>
          <w:bCs/>
        </w:rPr>
        <w:t>Ht</w:t>
      </w:r>
      <w:proofErr w:type="spellEnd"/>
      <w:r w:rsidRPr="0095217C">
        <w:rPr>
          <w:b/>
          <w:bCs/>
        </w:rPr>
        <w:t>:</w:t>
      </w:r>
      <w:r>
        <w:t xml:space="preserve"> </w:t>
      </w:r>
      <w:r w:rsidR="00656400">
        <w:t>5ft6</w:t>
      </w:r>
    </w:p>
    <w:p w14:paraId="296E261C" w14:textId="04FB2362" w:rsidR="002534FA" w:rsidRPr="00656400" w:rsidRDefault="002534FA" w:rsidP="002534FA">
      <w:pPr>
        <w:ind w:left="720"/>
      </w:pPr>
      <w:r>
        <w:rPr>
          <w:b/>
          <w:bCs/>
        </w:rPr>
        <w:t xml:space="preserve">BP: </w:t>
      </w:r>
      <w:r w:rsidR="00070102">
        <w:t>119/80 mmHg right arm seated; 120/80 mmHg left arm seated</w:t>
      </w:r>
    </w:p>
    <w:p w14:paraId="01B8C5C9" w14:textId="34A6FB15" w:rsidR="002534FA" w:rsidRDefault="002534FA" w:rsidP="002534FA">
      <w:pPr>
        <w:ind w:left="720"/>
      </w:pPr>
      <w:r>
        <w:rPr>
          <w:b/>
          <w:bCs/>
        </w:rPr>
        <w:t xml:space="preserve">P: </w:t>
      </w:r>
      <w:r w:rsidR="00070102" w:rsidRPr="00070102">
        <w:t>76</w:t>
      </w:r>
      <w:r w:rsidR="00070102">
        <w:t xml:space="preserve"> beats per minute</w:t>
      </w:r>
    </w:p>
    <w:p w14:paraId="288859AE" w14:textId="48D99FE4" w:rsidR="002534FA" w:rsidRPr="00070102" w:rsidRDefault="002534FA" w:rsidP="002534FA">
      <w:pPr>
        <w:ind w:left="720"/>
      </w:pPr>
      <w:r>
        <w:rPr>
          <w:b/>
          <w:bCs/>
        </w:rPr>
        <w:t xml:space="preserve">RR: </w:t>
      </w:r>
      <w:r w:rsidR="00700A55">
        <w:t>17 beats per minute</w:t>
      </w:r>
    </w:p>
    <w:p w14:paraId="11E541C1" w14:textId="270B14F6" w:rsidR="002534FA" w:rsidRPr="00700A55" w:rsidRDefault="002534FA" w:rsidP="002534FA">
      <w:pPr>
        <w:ind w:left="720"/>
      </w:pPr>
      <w:r>
        <w:rPr>
          <w:b/>
          <w:bCs/>
        </w:rPr>
        <w:t xml:space="preserve">T: </w:t>
      </w:r>
      <w:r w:rsidR="00700A55">
        <w:t>98.0</w:t>
      </w:r>
      <w:r w:rsidR="00700A55">
        <w:rPr>
          <w:rFonts w:cs="Times New Roman"/>
        </w:rPr>
        <w:t>°</w:t>
      </w:r>
      <w:r w:rsidR="00700A55">
        <w:t>F</w:t>
      </w:r>
    </w:p>
    <w:p w14:paraId="231855EB" w14:textId="3297D09E" w:rsidR="002534FA" w:rsidRPr="00700A55" w:rsidRDefault="002534FA" w:rsidP="002534FA">
      <w:pPr>
        <w:tabs>
          <w:tab w:val="left" w:pos="1800"/>
        </w:tabs>
      </w:pPr>
      <w:r>
        <w:rPr>
          <w:b/>
          <w:bCs/>
        </w:rPr>
        <w:t xml:space="preserve">General: </w:t>
      </w:r>
      <w:r w:rsidR="00700A55">
        <w:t>S.M. appears well-nourished and younger than her stated age</w:t>
      </w:r>
      <w:r w:rsidR="004B3049">
        <w:t>. She is pleasant, cooperative, and answers questions appropriately</w:t>
      </w:r>
    </w:p>
    <w:p w14:paraId="77A4D2D0" w14:textId="57E539AB" w:rsidR="002534FA" w:rsidRPr="004B3049" w:rsidRDefault="004B3049" w:rsidP="002534FA">
      <w:pPr>
        <w:tabs>
          <w:tab w:val="left" w:pos="1800"/>
        </w:tabs>
      </w:pPr>
      <w:r>
        <w:rPr>
          <w:b/>
          <w:bCs/>
        </w:rPr>
        <w:t xml:space="preserve">Integumentary: </w:t>
      </w:r>
      <w:r w:rsidR="00CB4453">
        <w:t xml:space="preserve">No rashes, </w:t>
      </w:r>
      <w:r w:rsidR="00CB4453">
        <w:t>ulcers</w:t>
      </w:r>
      <w:r w:rsidR="00CB4453">
        <w:t>, or lesions, noted</w:t>
      </w:r>
    </w:p>
    <w:p w14:paraId="0938697B" w14:textId="33D79161" w:rsidR="002534FA" w:rsidRPr="00CB4453" w:rsidRDefault="002534FA" w:rsidP="002534FA">
      <w:r>
        <w:rPr>
          <w:b/>
          <w:bCs/>
        </w:rPr>
        <w:t xml:space="preserve">Cardiovascular: </w:t>
      </w:r>
      <w:r w:rsidR="00CB4453">
        <w:t>RRR, S1 and S2, no extra sounds, no murmurs</w:t>
      </w:r>
      <w:r w:rsidR="00B86B3E">
        <w:t xml:space="preserve"> or thrills; PMI on the left at the fifth ICS at the midclavicular line; strong radial, </w:t>
      </w:r>
      <w:r w:rsidR="00431102">
        <w:t>tibial</w:t>
      </w:r>
      <w:r w:rsidR="00B86B3E">
        <w:t xml:space="preserve">, </w:t>
      </w:r>
      <w:r w:rsidR="00431102">
        <w:t xml:space="preserve">and </w:t>
      </w:r>
      <w:r w:rsidR="00B86B3E">
        <w:t>femoral</w:t>
      </w:r>
      <w:r w:rsidR="00431102">
        <w:t xml:space="preserve"> pulses bilaterally; no edema</w:t>
      </w:r>
    </w:p>
    <w:p w14:paraId="54334729" w14:textId="02AB18A1" w:rsidR="002534FA" w:rsidRPr="00431102" w:rsidRDefault="002534FA" w:rsidP="002534FA">
      <w:r>
        <w:rPr>
          <w:b/>
          <w:bCs/>
        </w:rPr>
        <w:t xml:space="preserve">Respiratory: </w:t>
      </w:r>
      <w:r w:rsidR="00431102">
        <w:t>symmetrical chest expansion</w:t>
      </w:r>
      <w:r w:rsidR="006401CE">
        <w:t>; no labored breathing; clear breath sounds clear to auscultation bilaterally; no rales or wheezes noted</w:t>
      </w:r>
    </w:p>
    <w:p w14:paraId="5172E62B" w14:textId="5512C833" w:rsidR="002534FA" w:rsidRPr="006401CE" w:rsidRDefault="006401CE" w:rsidP="006401CE">
      <w:r>
        <w:rPr>
          <w:b/>
          <w:bCs/>
        </w:rPr>
        <w:t xml:space="preserve">Musculoskeletal: </w:t>
      </w:r>
      <w:r w:rsidR="003C4F5A">
        <w:t xml:space="preserve">Mildly reduced ROM on the right knee with mild effusion and crepitus; </w:t>
      </w:r>
      <w:r w:rsidR="006B49FD">
        <w:t>harmful Ballott</w:t>
      </w:r>
      <w:r w:rsidR="003674C9">
        <w:t>e</w:t>
      </w:r>
      <w:r w:rsidR="006B49FD">
        <w:t xml:space="preserve">ment </w:t>
      </w:r>
      <w:r w:rsidR="003674C9">
        <w:t xml:space="preserve">and bulge signs; </w:t>
      </w:r>
      <w:r w:rsidR="003C4F5A">
        <w:t>no warmth or erythema; negative L</w:t>
      </w:r>
      <w:r w:rsidR="00D254C3">
        <w:t>a</w:t>
      </w:r>
      <w:r w:rsidR="003C4F5A">
        <w:t>chman, McMurray, and drawer tests</w:t>
      </w:r>
      <w:r w:rsidR="00D254C3">
        <w:t xml:space="preserve">; </w:t>
      </w:r>
      <w:r w:rsidR="00172F63">
        <w:t>no malalignment or bony deformities of the right or left knee joints; patient has a steady slow gain favoring the left side.</w:t>
      </w:r>
    </w:p>
    <w:p w14:paraId="3FF4F1F6" w14:textId="2F9414B6" w:rsidR="002534FA" w:rsidRDefault="002534FA" w:rsidP="002534FA">
      <w:pPr>
        <w:jc w:val="center"/>
        <w:rPr>
          <w:b/>
          <w:bCs/>
        </w:rPr>
      </w:pPr>
      <w:r>
        <w:rPr>
          <w:b/>
          <w:bCs/>
        </w:rPr>
        <w:t>ASSESSMENT</w:t>
      </w:r>
    </w:p>
    <w:p w14:paraId="5EEB651E" w14:textId="120E250D" w:rsidR="002534FA" w:rsidRPr="00D158C1" w:rsidRDefault="000E09BF" w:rsidP="00335D5C">
      <w:pPr>
        <w:pStyle w:val="ListParagraph"/>
        <w:numPr>
          <w:ilvl w:val="0"/>
          <w:numId w:val="4"/>
        </w:numPr>
        <w:rPr>
          <w:b/>
          <w:bCs/>
        </w:rPr>
      </w:pPr>
      <w:r>
        <w:rPr>
          <w:b/>
          <w:bCs/>
        </w:rPr>
        <w:lastRenderedPageBreak/>
        <w:t xml:space="preserve">Pseudogout of the right knee (ICD 10: </w:t>
      </w:r>
      <w:r w:rsidR="00683230">
        <w:rPr>
          <w:b/>
          <w:bCs/>
        </w:rPr>
        <w:t xml:space="preserve">M11.261): </w:t>
      </w:r>
      <w:r w:rsidR="004C2AE1">
        <w:t xml:space="preserve">Also known as calcium phosphate deposition disease (CPPD), pseudogout presents with pain </w:t>
      </w:r>
      <w:r w:rsidR="000B1A4D">
        <w:t>and stiffness of the affected joint</w:t>
      </w:r>
      <w:r w:rsidR="006D2803">
        <w:t xml:space="preserve">, decreased ability to bear weight, and reduced ROM </w:t>
      </w:r>
      <w:r w:rsidR="007C69FA">
        <w:t>(</w:t>
      </w:r>
      <w:r w:rsidR="005F1051">
        <w:t>George et al., 2019</w:t>
      </w:r>
      <w:r w:rsidR="006D2803">
        <w:t>;</w:t>
      </w:r>
      <w:r w:rsidR="005F1051">
        <w:t xml:space="preserve"> Iqbal et al., 2019</w:t>
      </w:r>
      <w:r w:rsidR="007C69FA">
        <w:t>).</w:t>
      </w:r>
      <w:r w:rsidR="006D2803">
        <w:t xml:space="preserve"> However, </w:t>
      </w:r>
      <w:r w:rsidR="000B0C34">
        <w:t>the condition is less likely based on the history of the presenting illness and the findings from the physical examination. Notably, pseud</w:t>
      </w:r>
      <w:r w:rsidR="00113860">
        <w:t>o</w:t>
      </w:r>
      <w:r w:rsidR="000B0C34">
        <w:t xml:space="preserve">gout </w:t>
      </w:r>
      <w:r w:rsidR="001F49EE">
        <w:t>is mostly bilateral, symmetrical, and involving multiple joints (</w:t>
      </w:r>
      <w:r w:rsidR="005F1051">
        <w:t>Iqbal et al., 2019</w:t>
      </w:r>
      <w:r w:rsidR="001F49EE">
        <w:t>).</w:t>
      </w:r>
      <w:r w:rsidR="00B53512">
        <w:t xml:space="preserve"> In addition, the disease presents with joint swelling, acute pain, fever, and erythema (</w:t>
      </w:r>
      <w:proofErr w:type="spellStart"/>
      <w:r w:rsidR="007542D6">
        <w:t>Forlizzi</w:t>
      </w:r>
      <w:proofErr w:type="spellEnd"/>
      <w:r w:rsidR="007542D6">
        <w:t xml:space="preserve"> et al., 2020</w:t>
      </w:r>
      <w:r w:rsidR="00B53512">
        <w:t xml:space="preserve">), which are not identified in the physical examination. </w:t>
      </w:r>
    </w:p>
    <w:p w14:paraId="6F6EE7B6" w14:textId="71515A07" w:rsidR="00D158C1" w:rsidRPr="00275B01" w:rsidRDefault="00D158C1" w:rsidP="00335D5C">
      <w:pPr>
        <w:pStyle w:val="ListParagraph"/>
        <w:numPr>
          <w:ilvl w:val="0"/>
          <w:numId w:val="4"/>
        </w:numPr>
        <w:rPr>
          <w:b/>
          <w:bCs/>
        </w:rPr>
      </w:pPr>
      <w:r>
        <w:rPr>
          <w:b/>
          <w:bCs/>
        </w:rPr>
        <w:t>Rheumatoid arthritis (ICD-10: M06.</w:t>
      </w:r>
      <w:r w:rsidR="000E6333">
        <w:rPr>
          <w:b/>
          <w:bCs/>
        </w:rPr>
        <w:t>9</w:t>
      </w:r>
      <w:r>
        <w:rPr>
          <w:b/>
          <w:bCs/>
        </w:rPr>
        <w:t xml:space="preserve">): </w:t>
      </w:r>
      <w:r w:rsidR="000E6333">
        <w:t>The condition is considered because of the family history</w:t>
      </w:r>
      <w:r w:rsidR="00862475">
        <w:t>. Family history of RA is a crucial predictor of the disease, even after accounting for other environmental and genetic factors (</w:t>
      </w:r>
      <w:hyperlink r:id="rId5" w:history="1"/>
      <w:r w:rsidR="007542D6">
        <w:t>Kronzer et al., 2021)</w:t>
      </w:r>
      <w:r w:rsidR="0080622D">
        <w:t xml:space="preserve">. </w:t>
      </w:r>
      <w:r w:rsidR="00916AF7">
        <w:t xml:space="preserve">Joint pain and morning stiffness are the two findings </w:t>
      </w:r>
      <w:r w:rsidR="00BB1191">
        <w:t xml:space="preserve">indicating RA. However, the disease is accompanied by joint tenderness, warmth, swelling, and </w:t>
      </w:r>
      <w:r w:rsidR="00C536E2">
        <w:t xml:space="preserve">presence of rheumatoid nodules under the skin </w:t>
      </w:r>
      <w:r w:rsidR="00C536E2">
        <w:t>(</w:t>
      </w:r>
      <w:r w:rsidR="000D65E3">
        <w:t>Bullock et al., 2019</w:t>
      </w:r>
      <w:r w:rsidR="00C536E2">
        <w:t xml:space="preserve">). </w:t>
      </w:r>
      <w:r w:rsidR="00AA34CA">
        <w:t xml:space="preserve">Besides, RA is bilateral and affects multiple joints, </w:t>
      </w:r>
      <w:r w:rsidR="00303D16">
        <w:t>especially metacarpophalangeal joints</w:t>
      </w:r>
      <w:r w:rsidR="00AA34CA">
        <w:t xml:space="preserve"> (</w:t>
      </w:r>
      <w:r w:rsidR="000D65E3">
        <w:t>Lin et al., 2020</w:t>
      </w:r>
      <w:r w:rsidR="00AA34CA">
        <w:t xml:space="preserve">). </w:t>
      </w:r>
      <w:r w:rsidR="00303D16">
        <w:t xml:space="preserve">While the patient reports morning stiffness, the absence of the other critical features rules out the diagnosis. </w:t>
      </w:r>
    </w:p>
    <w:p w14:paraId="616D3F06" w14:textId="5190AF3A" w:rsidR="00275B01" w:rsidRPr="00335D5C" w:rsidRDefault="00275B01" w:rsidP="00335D5C">
      <w:pPr>
        <w:pStyle w:val="ListParagraph"/>
        <w:numPr>
          <w:ilvl w:val="0"/>
          <w:numId w:val="4"/>
        </w:numPr>
        <w:rPr>
          <w:b/>
          <w:bCs/>
        </w:rPr>
      </w:pPr>
      <w:r>
        <w:rPr>
          <w:b/>
          <w:bCs/>
        </w:rPr>
        <w:t xml:space="preserve">Reactive arthritis (ICO 10: MO2.9): </w:t>
      </w:r>
      <w:proofErr w:type="spellStart"/>
      <w:r w:rsidR="00A435A7">
        <w:t>ReA</w:t>
      </w:r>
      <w:proofErr w:type="spellEnd"/>
      <w:r w:rsidR="00A435A7">
        <w:t xml:space="preserve"> is a part of the spondylarthritis spectrum</w:t>
      </w:r>
      <w:r w:rsidR="00B24227">
        <w:t xml:space="preserve"> and refers to a group of </w:t>
      </w:r>
      <w:proofErr w:type="spellStart"/>
      <w:r w:rsidR="00B24227">
        <w:t>entheseal</w:t>
      </w:r>
      <w:proofErr w:type="spellEnd"/>
      <w:r w:rsidR="00B24227">
        <w:t xml:space="preserve">, articular, ocular, and mucocutaneous manifestations occurring after an enteric, respiratory, </w:t>
      </w:r>
      <w:r w:rsidR="008B3BF0">
        <w:t xml:space="preserve">or </w:t>
      </w:r>
      <w:proofErr w:type="spellStart"/>
      <w:r w:rsidR="00B24227">
        <w:t>genito</w:t>
      </w:r>
      <w:proofErr w:type="spellEnd"/>
      <w:r w:rsidR="00B24227">
        <w:t>-urologic infection (</w:t>
      </w:r>
      <w:proofErr w:type="spellStart"/>
      <w:r w:rsidR="000D65E3">
        <w:t>Bentaleb</w:t>
      </w:r>
      <w:proofErr w:type="spellEnd"/>
      <w:r w:rsidR="000D65E3">
        <w:t xml:space="preserve"> et al., 2020</w:t>
      </w:r>
      <w:r w:rsidR="00B24227">
        <w:t xml:space="preserve">). </w:t>
      </w:r>
      <w:proofErr w:type="spellStart"/>
      <w:r w:rsidR="00CC2AB3">
        <w:t>ReA</w:t>
      </w:r>
      <w:proofErr w:type="spellEnd"/>
      <w:r w:rsidR="00CC2AB3">
        <w:t xml:space="preserve"> is suspected because of the </w:t>
      </w:r>
      <w:r w:rsidR="008A1A1A">
        <w:t>severe pain affecting the knee joint</w:t>
      </w:r>
      <w:r w:rsidR="008D51EB">
        <w:t xml:space="preserve"> asymmetrically.</w:t>
      </w:r>
      <w:r w:rsidR="008A1A1A">
        <w:t xml:space="preserve"> However, the condition is associated with other manifestations not observed, including fever</w:t>
      </w:r>
      <w:r w:rsidR="008D51EB">
        <w:t>, joint redness</w:t>
      </w:r>
      <w:r w:rsidR="005E66CB">
        <w:t>, and pain affecting the lumbar region (</w:t>
      </w:r>
      <w:proofErr w:type="spellStart"/>
      <w:r w:rsidR="00BD1FDC">
        <w:t>Lahu</w:t>
      </w:r>
      <w:proofErr w:type="spellEnd"/>
      <w:r w:rsidR="00BD1FDC">
        <w:t xml:space="preserve"> et al., 2019</w:t>
      </w:r>
      <w:r w:rsidR="005E66CB">
        <w:t>).</w:t>
      </w:r>
      <w:r w:rsidR="005E66CB">
        <w:t xml:space="preserve"> In addition, </w:t>
      </w:r>
      <w:r w:rsidR="005E66CB">
        <w:lastRenderedPageBreak/>
        <w:t xml:space="preserve">a positive diagnosis requires the presence of a urinary infection and diarrhea several days </w:t>
      </w:r>
      <w:r w:rsidR="00D71EB0">
        <w:t>earlier.</w:t>
      </w:r>
    </w:p>
    <w:p w14:paraId="4BEB6BB2" w14:textId="4D6C37D9" w:rsidR="002534FA" w:rsidRDefault="002534FA" w:rsidP="00335D5C">
      <w:pPr>
        <w:rPr>
          <w:b/>
          <w:bCs/>
        </w:rPr>
      </w:pPr>
      <w:r w:rsidRPr="00972CF2">
        <w:rPr>
          <w:b/>
          <w:bCs/>
        </w:rPr>
        <w:t>Primary Diagnosis</w:t>
      </w:r>
    </w:p>
    <w:p w14:paraId="4BA761FD" w14:textId="549E3F60" w:rsidR="00DD0739" w:rsidRPr="00DD0739" w:rsidRDefault="00963095" w:rsidP="00DD0739">
      <w:pPr>
        <w:pStyle w:val="ListParagraph"/>
        <w:numPr>
          <w:ilvl w:val="0"/>
          <w:numId w:val="4"/>
        </w:numPr>
        <w:rPr>
          <w:b/>
          <w:bCs/>
        </w:rPr>
      </w:pPr>
      <w:r>
        <w:rPr>
          <w:b/>
          <w:bCs/>
        </w:rPr>
        <w:t>Unilateral primary o</w:t>
      </w:r>
      <w:r w:rsidR="00DD0739">
        <w:rPr>
          <w:b/>
          <w:bCs/>
        </w:rPr>
        <w:t xml:space="preserve">steoarthritis of the knee (ICD 10: </w:t>
      </w:r>
      <w:r>
        <w:rPr>
          <w:b/>
          <w:bCs/>
        </w:rPr>
        <w:t xml:space="preserve">M17.1): </w:t>
      </w:r>
      <w:r w:rsidR="00CB6FB3">
        <w:t>Primary OA is a progressive and degenerative joint disease</w:t>
      </w:r>
      <w:r w:rsidR="00F93E0F">
        <w:t xml:space="preserve">. </w:t>
      </w:r>
      <w:r w:rsidR="004317D2">
        <w:t xml:space="preserve">Presenting signs and symptoms such as pain, </w:t>
      </w:r>
      <w:r w:rsidR="00A07FE3">
        <w:t xml:space="preserve">stiffness, </w:t>
      </w:r>
      <w:r w:rsidR="004317D2">
        <w:t xml:space="preserve">crepitus, </w:t>
      </w:r>
      <w:r w:rsidR="00496BA2">
        <w:t>reduced</w:t>
      </w:r>
      <w:r w:rsidR="004317D2">
        <w:t xml:space="preserve"> ROM, and a grinding sensation of the right knee </w:t>
      </w:r>
      <w:r w:rsidR="005B5546">
        <w:t>make it the most likely diagnosis</w:t>
      </w:r>
      <w:r w:rsidR="00496BA2">
        <w:t xml:space="preserve"> (</w:t>
      </w:r>
      <w:r w:rsidR="00BD120C">
        <w:t>Sharma, 2021</w:t>
      </w:r>
      <w:r w:rsidR="00496BA2">
        <w:t>)</w:t>
      </w:r>
      <w:r w:rsidR="005B5546">
        <w:t xml:space="preserve">. </w:t>
      </w:r>
      <w:r w:rsidR="00A07FE3">
        <w:t>Pain associated with OA worsens with activity</w:t>
      </w:r>
      <w:r w:rsidR="00456DEA">
        <w:t xml:space="preserve">. While the patient does not have some of the typical risk factors, including being overweight, her gender, age, and ethnicity are </w:t>
      </w:r>
      <w:r w:rsidR="003D2C0E">
        <w:t>crucial risk factors. Evidence shows a high risk of OA in older females (&gt;65 years) of African American ethnicity (</w:t>
      </w:r>
      <w:r w:rsidR="00BD120C">
        <w:t>Mora et al., 2018</w:t>
      </w:r>
      <w:r w:rsidR="003D2C0E">
        <w:t xml:space="preserve">). </w:t>
      </w:r>
      <w:r w:rsidR="007F00EE">
        <w:t>Besides, the CC, HPI, and presenting symptoms are significantly aligned with OA.</w:t>
      </w:r>
    </w:p>
    <w:p w14:paraId="153B9748" w14:textId="0B243C1B" w:rsidR="002534FA" w:rsidRDefault="002534FA" w:rsidP="002534FA">
      <w:pPr>
        <w:jc w:val="center"/>
        <w:rPr>
          <w:b/>
          <w:bCs/>
        </w:rPr>
      </w:pPr>
      <w:r>
        <w:rPr>
          <w:b/>
          <w:bCs/>
        </w:rPr>
        <w:t>PLAN</w:t>
      </w:r>
    </w:p>
    <w:p w14:paraId="6ED1B094" w14:textId="584D177B" w:rsidR="004B63DD" w:rsidRDefault="002534FA" w:rsidP="002534FA">
      <w:pPr>
        <w:rPr>
          <w:b/>
          <w:bCs/>
        </w:rPr>
      </w:pPr>
      <w:r w:rsidRPr="006657A1">
        <w:rPr>
          <w:b/>
          <w:bCs/>
        </w:rPr>
        <w:t>Diagnostic</w:t>
      </w:r>
      <w:r>
        <w:rPr>
          <w:b/>
          <w:bCs/>
        </w:rPr>
        <w:t xml:space="preserve"> testing </w:t>
      </w:r>
    </w:p>
    <w:p w14:paraId="2A274FF1" w14:textId="3B05E3D4" w:rsidR="002534FA" w:rsidRPr="007F00EE" w:rsidRDefault="007F00EE" w:rsidP="00C92A93">
      <w:pPr>
        <w:pStyle w:val="ListParagraph"/>
        <w:numPr>
          <w:ilvl w:val="0"/>
          <w:numId w:val="1"/>
        </w:numPr>
      </w:pPr>
      <w:r>
        <w:t>Order a plain radiograph to confirm the diagnosis and rule out the differential diagnoses</w:t>
      </w:r>
      <w:r w:rsidR="008E3CEE">
        <w:t>. In case of OA, the radiograph would reveal osteophytes, narrowed joint space, subchondral cysts, and subarticular sclerosis</w:t>
      </w:r>
      <w:r w:rsidR="002E4E09">
        <w:t xml:space="preserve">. Joint aspiration may help distinguish OA from other </w:t>
      </w:r>
      <w:proofErr w:type="spellStart"/>
      <w:r w:rsidR="002E4E09">
        <w:t>arthritides</w:t>
      </w:r>
      <w:proofErr w:type="spellEnd"/>
      <w:r w:rsidR="008E3CEE">
        <w:t xml:space="preserve"> (</w:t>
      </w:r>
      <w:r w:rsidR="008E059D">
        <w:t>Sharma, 2021</w:t>
      </w:r>
      <w:r w:rsidR="008E3CEE">
        <w:t xml:space="preserve">). </w:t>
      </w:r>
    </w:p>
    <w:p w14:paraId="4A9908E8" w14:textId="1286CC02" w:rsidR="00C92A93" w:rsidRDefault="002534FA" w:rsidP="002534FA">
      <w:r>
        <w:rPr>
          <w:b/>
          <w:bCs/>
        </w:rPr>
        <w:t>Pharmacologic Intervention</w:t>
      </w:r>
      <w:r>
        <w:t xml:space="preserve"> </w:t>
      </w:r>
    </w:p>
    <w:p w14:paraId="41329F87" w14:textId="3C2DF09F" w:rsidR="002534FA" w:rsidRDefault="00B33D96" w:rsidP="00C92A93">
      <w:pPr>
        <w:pStyle w:val="ListParagraph"/>
        <w:numPr>
          <w:ilvl w:val="0"/>
          <w:numId w:val="1"/>
        </w:numPr>
      </w:pPr>
      <w:r>
        <w:t>Topical capsaicin (0.025-0.075) applied TID on the knee</w:t>
      </w:r>
      <w:r w:rsidR="007611B4">
        <w:t>:</w:t>
      </w:r>
      <w:r w:rsidR="00B60547">
        <w:t xml:space="preserve"> </w:t>
      </w:r>
      <w:r w:rsidR="00B60547">
        <w:t>As reported by</w:t>
      </w:r>
      <w:r w:rsidR="008E059D">
        <w:t xml:space="preserve"> </w:t>
      </w:r>
      <w:proofErr w:type="spellStart"/>
      <w:r w:rsidR="008E059D">
        <w:t>Kolasinski</w:t>
      </w:r>
      <w:proofErr w:type="spellEnd"/>
      <w:r w:rsidR="008E059D">
        <w:t xml:space="preserve"> et al. (2020)</w:t>
      </w:r>
      <w:r w:rsidR="00B60547">
        <w:t>, the American College of Rheumatology recommends topical nonsteroidal anti-inflammatory drugs (NSAIDs) in treating knee OA.</w:t>
      </w:r>
      <w:r>
        <w:t xml:space="preserve"> </w:t>
      </w:r>
      <w:r w:rsidR="003D02AF">
        <w:t>Topical capsaicin has been found effective and safe in treating OA of the shoulder, hip, knee, or hand</w:t>
      </w:r>
      <w:r w:rsidR="004B63DD">
        <w:t>, with fewer side effects compared to oral NSAIDs</w:t>
      </w:r>
      <w:r w:rsidR="003D02AF">
        <w:t xml:space="preserve"> (</w:t>
      </w:r>
      <w:r w:rsidR="00E40FE3">
        <w:t>Guedes et al., 2018</w:t>
      </w:r>
      <w:r w:rsidR="003D02AF">
        <w:t xml:space="preserve">). </w:t>
      </w:r>
    </w:p>
    <w:p w14:paraId="7BE4B1FF" w14:textId="173BB45C" w:rsidR="00C92A93" w:rsidRDefault="000026C4" w:rsidP="00C92A93">
      <w:pPr>
        <w:pStyle w:val="ListParagraph"/>
        <w:numPr>
          <w:ilvl w:val="0"/>
          <w:numId w:val="1"/>
        </w:numPr>
      </w:pPr>
      <w:r>
        <w:lastRenderedPageBreak/>
        <w:t>Intra-articular methyl-prednisolone (Depo-Medrol) 40 mg</w:t>
      </w:r>
      <w:r w:rsidR="00FF44BC">
        <w:t xml:space="preserve"> single dose delivered in three months intervals</w:t>
      </w:r>
      <w:r w:rsidR="00C73800">
        <w:t xml:space="preserve"> if pain does not resolve</w:t>
      </w:r>
      <w:r w:rsidR="00FF44BC">
        <w:t xml:space="preserve">: </w:t>
      </w:r>
      <w:r w:rsidR="007611B4">
        <w:t xml:space="preserve">Intra-articular corticosteroids injections </w:t>
      </w:r>
      <w:r w:rsidR="002E2FDE">
        <w:t>produce significant pain relief for moderate to severe OA pain (</w:t>
      </w:r>
      <w:r w:rsidR="00E40FE3">
        <w:t>Testa et al., 2021</w:t>
      </w:r>
      <w:r w:rsidR="002E2FDE">
        <w:t xml:space="preserve">). The injection is indicated for patients who do not experience pain relief from </w:t>
      </w:r>
      <w:r w:rsidR="00C73800">
        <w:t>topical NSAIDs (</w:t>
      </w:r>
      <w:proofErr w:type="spellStart"/>
      <w:r w:rsidR="00E40FE3">
        <w:t>Kolasinski</w:t>
      </w:r>
      <w:proofErr w:type="spellEnd"/>
      <w:r w:rsidR="00E40FE3">
        <w:t xml:space="preserve"> et al., 2020</w:t>
      </w:r>
      <w:r w:rsidR="00C73800">
        <w:t xml:space="preserve">). </w:t>
      </w:r>
    </w:p>
    <w:p w14:paraId="4E1EC2C0" w14:textId="464BB405" w:rsidR="002534FA" w:rsidRDefault="002534FA" w:rsidP="002534FA">
      <w:pPr>
        <w:rPr>
          <w:b/>
          <w:bCs/>
        </w:rPr>
      </w:pPr>
      <w:r>
        <w:rPr>
          <w:b/>
          <w:bCs/>
        </w:rPr>
        <w:t>Non-pharmacologic interventions</w:t>
      </w:r>
    </w:p>
    <w:p w14:paraId="6145ED78" w14:textId="3E12BB85" w:rsidR="00DA5FC8" w:rsidRDefault="0019483D" w:rsidP="00DA5FC8">
      <w:pPr>
        <w:pStyle w:val="ListParagraph"/>
        <w:numPr>
          <w:ilvl w:val="0"/>
          <w:numId w:val="1"/>
        </w:numPr>
      </w:pPr>
      <w:r>
        <w:t>Exercise focused on improving ROM, aerobic fitness, and strength</w:t>
      </w:r>
      <w:r w:rsidR="00E3574C">
        <w:t>, including community-based walking, elastic band exercises, and balance exercises (</w:t>
      </w:r>
      <w:r w:rsidR="00E40FE3">
        <w:t>Sharma, 2021</w:t>
      </w:r>
      <w:r w:rsidR="00E3574C">
        <w:t xml:space="preserve">) </w:t>
      </w:r>
    </w:p>
    <w:p w14:paraId="15BF1502" w14:textId="1D7E751B" w:rsidR="00AA2979" w:rsidRPr="00DA5FC8" w:rsidRDefault="00AA2979" w:rsidP="00DA5FC8">
      <w:pPr>
        <w:pStyle w:val="ListParagraph"/>
        <w:numPr>
          <w:ilvl w:val="0"/>
          <w:numId w:val="1"/>
        </w:numPr>
      </w:pPr>
      <w:r>
        <w:t>Psychological intervention focused on pain management and pain coping skills (</w:t>
      </w:r>
      <w:r w:rsidR="00E40FE3">
        <w:t>Sharma, 2021</w:t>
      </w:r>
      <w:r>
        <w:t xml:space="preserve">). </w:t>
      </w:r>
    </w:p>
    <w:p w14:paraId="0D222F3F" w14:textId="55B7E1FB" w:rsidR="002534FA" w:rsidRPr="00CD5EA8" w:rsidRDefault="002534FA" w:rsidP="002534FA">
      <w:r>
        <w:rPr>
          <w:b/>
          <w:bCs/>
        </w:rPr>
        <w:t xml:space="preserve">Referrals: </w:t>
      </w:r>
      <w:r w:rsidR="00CD5EA8" w:rsidRPr="00CD5EA8">
        <w:t>Patient</w:t>
      </w:r>
      <w:r w:rsidR="00CD5EA8">
        <w:rPr>
          <w:b/>
          <w:bCs/>
        </w:rPr>
        <w:t xml:space="preserve"> </w:t>
      </w:r>
      <w:r w:rsidR="00CD5EA8">
        <w:t xml:space="preserve">referred to an occupational therapists </w:t>
      </w:r>
      <w:r w:rsidR="0048236B">
        <w:t>and physical therapists to assist in exercise programs.</w:t>
      </w:r>
    </w:p>
    <w:p w14:paraId="737B4226" w14:textId="108258EB" w:rsidR="002534FA" w:rsidRPr="0048236B" w:rsidRDefault="002534FA" w:rsidP="002534FA">
      <w:r>
        <w:rPr>
          <w:b/>
          <w:bCs/>
        </w:rPr>
        <w:t xml:space="preserve">Patient education: </w:t>
      </w:r>
      <w:r w:rsidR="0048236B">
        <w:t>Patient</w:t>
      </w:r>
      <w:r w:rsidR="00991062">
        <w:t xml:space="preserve"> was</w:t>
      </w:r>
      <w:r w:rsidR="0048236B">
        <w:t xml:space="preserve"> educated about osteoarthritis, including the signs, symptoms, and disease progression, </w:t>
      </w:r>
      <w:r w:rsidR="00991062">
        <w:t>joint protection approaches such as avoiding repeated stress, and advice about dietary supplements such as glucosamine.</w:t>
      </w:r>
    </w:p>
    <w:p w14:paraId="5AA5A9D5" w14:textId="1EE1D110" w:rsidR="002534FA" w:rsidRPr="00D71805" w:rsidRDefault="002534FA" w:rsidP="002534FA">
      <w:r>
        <w:rPr>
          <w:b/>
          <w:bCs/>
        </w:rPr>
        <w:t xml:space="preserve">Follow-up: </w:t>
      </w:r>
      <w:r w:rsidR="00D71805">
        <w:t>F/U in two weeks</w:t>
      </w:r>
    </w:p>
    <w:p w14:paraId="20713E4D" w14:textId="77777777" w:rsidR="002534FA" w:rsidRDefault="002534FA" w:rsidP="002534FA">
      <w:r>
        <w:br w:type="page"/>
      </w:r>
    </w:p>
    <w:p w14:paraId="336FD55B" w14:textId="77777777" w:rsidR="002534FA" w:rsidRDefault="002534FA" w:rsidP="002534FA">
      <w:pPr>
        <w:jc w:val="center"/>
      </w:pPr>
      <w:r w:rsidRPr="00013AA9">
        <w:rPr>
          <w:b/>
          <w:bCs/>
        </w:rPr>
        <w:lastRenderedPageBreak/>
        <w:t>References</w:t>
      </w:r>
      <w:r>
        <w:t xml:space="preserve"> </w:t>
      </w:r>
    </w:p>
    <w:p w14:paraId="665D383B" w14:textId="77777777" w:rsidR="00E40FE3" w:rsidRPr="00E40FE3" w:rsidRDefault="00E40FE3" w:rsidP="002534FA">
      <w:pPr>
        <w:ind w:left="720" w:hanging="720"/>
        <w:rPr>
          <w:rFonts w:cs="Times New Roman"/>
          <w:szCs w:val="24"/>
        </w:rPr>
      </w:pPr>
      <w:proofErr w:type="spellStart"/>
      <w:r w:rsidRPr="00E40FE3">
        <w:rPr>
          <w:rFonts w:cs="Times New Roman"/>
          <w:szCs w:val="24"/>
        </w:rPr>
        <w:t>Bentaleb</w:t>
      </w:r>
      <w:proofErr w:type="spellEnd"/>
      <w:r w:rsidRPr="00E40FE3">
        <w:rPr>
          <w:rFonts w:cs="Times New Roman"/>
          <w:szCs w:val="24"/>
        </w:rPr>
        <w:t xml:space="preserve">, I., Abdelghani, K. B., Rostom, S., Amine, B., </w:t>
      </w:r>
      <w:proofErr w:type="spellStart"/>
      <w:r w:rsidRPr="00E40FE3">
        <w:rPr>
          <w:rFonts w:cs="Times New Roman"/>
          <w:szCs w:val="24"/>
        </w:rPr>
        <w:t>Laatar</w:t>
      </w:r>
      <w:proofErr w:type="spellEnd"/>
      <w:r w:rsidRPr="00E40FE3">
        <w:rPr>
          <w:rFonts w:cs="Times New Roman"/>
          <w:szCs w:val="24"/>
        </w:rPr>
        <w:t xml:space="preserve">, A., &amp; </w:t>
      </w:r>
      <w:proofErr w:type="spellStart"/>
      <w:r w:rsidRPr="00E40FE3">
        <w:rPr>
          <w:rFonts w:cs="Times New Roman"/>
          <w:szCs w:val="24"/>
        </w:rPr>
        <w:t>Bahiri</w:t>
      </w:r>
      <w:proofErr w:type="spellEnd"/>
      <w:r w:rsidRPr="00E40FE3">
        <w:rPr>
          <w:rFonts w:cs="Times New Roman"/>
          <w:szCs w:val="24"/>
        </w:rPr>
        <w:t xml:space="preserve">, R. (2020). Reactive Arthritis: Update. </w:t>
      </w:r>
      <w:r w:rsidRPr="00E40FE3">
        <w:rPr>
          <w:rFonts w:cs="Times New Roman"/>
          <w:i/>
          <w:iCs/>
          <w:szCs w:val="24"/>
        </w:rPr>
        <w:t>Current Clinical Microbiology Reports</w:t>
      </w:r>
      <w:r w:rsidRPr="00E40FE3">
        <w:rPr>
          <w:rFonts w:cs="Times New Roman"/>
          <w:szCs w:val="24"/>
        </w:rPr>
        <w:t xml:space="preserve">, </w:t>
      </w:r>
      <w:r w:rsidRPr="00E40FE3">
        <w:rPr>
          <w:rFonts w:cs="Times New Roman"/>
          <w:i/>
          <w:iCs/>
          <w:szCs w:val="24"/>
        </w:rPr>
        <w:t>7</w:t>
      </w:r>
      <w:r w:rsidRPr="00E40FE3">
        <w:rPr>
          <w:rFonts w:cs="Times New Roman"/>
          <w:szCs w:val="24"/>
        </w:rPr>
        <w:t xml:space="preserve">(4), 124-132. </w:t>
      </w:r>
      <w:hyperlink r:id="rId6" w:history="1">
        <w:r w:rsidRPr="00E40FE3">
          <w:rPr>
            <w:rStyle w:val="Hyperlink"/>
            <w:rFonts w:cs="Times New Roman"/>
            <w:szCs w:val="24"/>
          </w:rPr>
          <w:t>https://doi.org/10.1007/s40588-020-00152-6</w:t>
        </w:r>
      </w:hyperlink>
      <w:r w:rsidRPr="00E40FE3">
        <w:rPr>
          <w:rFonts w:cs="Times New Roman"/>
          <w:szCs w:val="24"/>
        </w:rPr>
        <w:t xml:space="preserve"> </w:t>
      </w:r>
    </w:p>
    <w:p w14:paraId="21431B08" w14:textId="77777777" w:rsidR="00E40FE3" w:rsidRPr="00E40FE3" w:rsidRDefault="00E40FE3" w:rsidP="002534FA">
      <w:pPr>
        <w:ind w:left="720" w:hanging="720"/>
        <w:rPr>
          <w:rFonts w:cs="Times New Roman"/>
          <w:szCs w:val="24"/>
        </w:rPr>
      </w:pPr>
      <w:r w:rsidRPr="00E40FE3">
        <w:rPr>
          <w:rFonts w:cs="Times New Roman"/>
          <w:szCs w:val="24"/>
        </w:rPr>
        <w:t xml:space="preserve">Bullock, J., Rizvi, A. A., Saleh, A. M., Ahmed, S. S., Do, D. P., Ansari, R. A., &amp; Ahmed, J. (2019). Rheumatoid Arthritis: A Brief Overview of the Treatment. </w:t>
      </w:r>
      <w:r w:rsidRPr="00E40FE3">
        <w:rPr>
          <w:rFonts w:cs="Times New Roman"/>
          <w:i/>
          <w:iCs/>
          <w:szCs w:val="24"/>
        </w:rPr>
        <w:t>Medical Principles and Practice</w:t>
      </w:r>
      <w:r w:rsidRPr="00E40FE3">
        <w:rPr>
          <w:rFonts w:cs="Times New Roman"/>
          <w:szCs w:val="24"/>
        </w:rPr>
        <w:t xml:space="preserve">, </w:t>
      </w:r>
      <w:r w:rsidRPr="00E40FE3">
        <w:rPr>
          <w:rFonts w:cs="Times New Roman"/>
          <w:i/>
          <w:iCs/>
          <w:szCs w:val="24"/>
        </w:rPr>
        <w:t>27</w:t>
      </w:r>
      <w:r w:rsidRPr="00E40FE3">
        <w:rPr>
          <w:rFonts w:cs="Times New Roman"/>
          <w:szCs w:val="24"/>
        </w:rPr>
        <w:t xml:space="preserve">(6), 501-507. </w:t>
      </w:r>
      <w:hyperlink r:id="rId7" w:history="1">
        <w:r w:rsidRPr="00E40FE3">
          <w:rPr>
            <w:rStyle w:val="Hyperlink"/>
            <w:rFonts w:cs="Times New Roman"/>
            <w:szCs w:val="24"/>
          </w:rPr>
          <w:t>https://doi.org/10.1159/000493390</w:t>
        </w:r>
      </w:hyperlink>
      <w:r w:rsidRPr="00E40FE3">
        <w:rPr>
          <w:rFonts w:cs="Times New Roman"/>
          <w:szCs w:val="24"/>
        </w:rPr>
        <w:t xml:space="preserve"> </w:t>
      </w:r>
    </w:p>
    <w:p w14:paraId="2670D574" w14:textId="77777777" w:rsidR="00E40FE3" w:rsidRPr="00E40FE3" w:rsidRDefault="00E40FE3" w:rsidP="002534FA">
      <w:pPr>
        <w:ind w:left="720" w:hanging="720"/>
        <w:rPr>
          <w:rFonts w:cs="Times New Roman"/>
          <w:szCs w:val="24"/>
        </w:rPr>
      </w:pPr>
      <w:proofErr w:type="spellStart"/>
      <w:r w:rsidRPr="00E40FE3">
        <w:rPr>
          <w:rFonts w:cs="Times New Roman"/>
          <w:szCs w:val="24"/>
        </w:rPr>
        <w:t>Forlizzi</w:t>
      </w:r>
      <w:proofErr w:type="spellEnd"/>
      <w:r w:rsidRPr="00E40FE3">
        <w:rPr>
          <w:rFonts w:cs="Times New Roman"/>
          <w:szCs w:val="24"/>
        </w:rPr>
        <w:t xml:space="preserve">, J. M., Ryan, J. M., </w:t>
      </w:r>
      <w:proofErr w:type="spellStart"/>
      <w:r w:rsidRPr="00E40FE3">
        <w:rPr>
          <w:rFonts w:cs="Times New Roman"/>
          <w:szCs w:val="24"/>
        </w:rPr>
        <w:t>Galow</w:t>
      </w:r>
      <w:proofErr w:type="spellEnd"/>
      <w:r w:rsidRPr="00E40FE3">
        <w:rPr>
          <w:rFonts w:cs="Times New Roman"/>
          <w:szCs w:val="24"/>
        </w:rPr>
        <w:t xml:space="preserve">, K. E., Shang, A. C., &amp; </w:t>
      </w:r>
      <w:proofErr w:type="spellStart"/>
      <w:r w:rsidRPr="00E40FE3">
        <w:rPr>
          <w:rFonts w:cs="Times New Roman"/>
          <w:szCs w:val="24"/>
        </w:rPr>
        <w:t>Polakoff</w:t>
      </w:r>
      <w:proofErr w:type="spellEnd"/>
      <w:r w:rsidRPr="00E40FE3">
        <w:rPr>
          <w:rFonts w:cs="Times New Roman"/>
          <w:szCs w:val="24"/>
        </w:rPr>
        <w:t xml:space="preserve">, D. R. (2020). Acute pseudogout presenting as an exception to Musculoskeletal Infection Society criteria in total knee arthroplasty: A case report. </w:t>
      </w:r>
      <w:r w:rsidRPr="00E40FE3">
        <w:rPr>
          <w:rFonts w:cs="Times New Roman"/>
          <w:i/>
          <w:iCs/>
          <w:szCs w:val="24"/>
        </w:rPr>
        <w:t>AME Case Reports</w:t>
      </w:r>
      <w:r w:rsidRPr="00E40FE3">
        <w:rPr>
          <w:rFonts w:cs="Times New Roman"/>
          <w:szCs w:val="24"/>
        </w:rPr>
        <w:t xml:space="preserve">, </w:t>
      </w:r>
      <w:r w:rsidRPr="00E40FE3">
        <w:rPr>
          <w:rFonts w:cs="Times New Roman"/>
          <w:i/>
          <w:iCs/>
          <w:szCs w:val="24"/>
        </w:rPr>
        <w:t>4</w:t>
      </w:r>
      <w:r w:rsidRPr="00E40FE3">
        <w:rPr>
          <w:rFonts w:cs="Times New Roman"/>
          <w:szCs w:val="24"/>
        </w:rPr>
        <w:t xml:space="preserve">. </w:t>
      </w:r>
      <w:hyperlink r:id="rId8" w:history="1">
        <w:r w:rsidRPr="00E40FE3">
          <w:rPr>
            <w:rStyle w:val="Hyperlink"/>
            <w:rFonts w:cs="Times New Roman"/>
            <w:szCs w:val="24"/>
          </w:rPr>
          <w:t>https://doi.org/10.21037/acr-20-82</w:t>
        </w:r>
      </w:hyperlink>
      <w:r w:rsidRPr="00E40FE3">
        <w:rPr>
          <w:rFonts w:cs="Times New Roman"/>
          <w:szCs w:val="24"/>
        </w:rPr>
        <w:t xml:space="preserve"> </w:t>
      </w:r>
    </w:p>
    <w:p w14:paraId="51B98AEC" w14:textId="77777777" w:rsidR="00E40FE3" w:rsidRPr="00E40FE3" w:rsidRDefault="00E40FE3" w:rsidP="002534FA">
      <w:pPr>
        <w:ind w:left="720" w:hanging="720"/>
        <w:rPr>
          <w:rFonts w:cs="Times New Roman"/>
          <w:szCs w:val="24"/>
        </w:rPr>
      </w:pPr>
      <w:r w:rsidRPr="00E40FE3">
        <w:rPr>
          <w:rFonts w:cs="Times New Roman"/>
          <w:szCs w:val="24"/>
        </w:rPr>
        <w:t xml:space="preserve">George, M. P., </w:t>
      </w:r>
      <w:proofErr w:type="spellStart"/>
      <w:r w:rsidRPr="00E40FE3">
        <w:rPr>
          <w:rFonts w:cs="Times New Roman"/>
          <w:szCs w:val="24"/>
        </w:rPr>
        <w:t>Ernste</w:t>
      </w:r>
      <w:proofErr w:type="spellEnd"/>
      <w:r w:rsidRPr="00E40FE3">
        <w:rPr>
          <w:rFonts w:cs="Times New Roman"/>
          <w:szCs w:val="24"/>
        </w:rPr>
        <w:t xml:space="preserve">, F. C., </w:t>
      </w:r>
      <w:proofErr w:type="spellStart"/>
      <w:r w:rsidRPr="00E40FE3">
        <w:rPr>
          <w:rFonts w:cs="Times New Roman"/>
          <w:szCs w:val="24"/>
        </w:rPr>
        <w:t>Tande</w:t>
      </w:r>
      <w:proofErr w:type="spellEnd"/>
      <w:r w:rsidRPr="00E40FE3">
        <w:rPr>
          <w:rFonts w:cs="Times New Roman"/>
          <w:szCs w:val="24"/>
        </w:rPr>
        <w:t xml:space="preserve">, A., </w:t>
      </w:r>
      <w:proofErr w:type="spellStart"/>
      <w:r w:rsidRPr="00E40FE3">
        <w:rPr>
          <w:rFonts w:cs="Times New Roman"/>
          <w:szCs w:val="24"/>
        </w:rPr>
        <w:t>Osmon</w:t>
      </w:r>
      <w:proofErr w:type="spellEnd"/>
      <w:r w:rsidRPr="00E40FE3">
        <w:rPr>
          <w:rFonts w:cs="Times New Roman"/>
          <w:szCs w:val="24"/>
        </w:rPr>
        <w:t xml:space="preserve">, D., Mabry, T., &amp; </w:t>
      </w:r>
      <w:proofErr w:type="spellStart"/>
      <w:r w:rsidRPr="00E40FE3">
        <w:rPr>
          <w:rFonts w:cs="Times New Roman"/>
          <w:szCs w:val="24"/>
        </w:rPr>
        <w:t>Berbari</w:t>
      </w:r>
      <w:proofErr w:type="spellEnd"/>
      <w:r w:rsidRPr="00E40FE3">
        <w:rPr>
          <w:rFonts w:cs="Times New Roman"/>
          <w:szCs w:val="24"/>
        </w:rPr>
        <w:t xml:space="preserve">, E. F. (2019). Clinical Presentation, Management, and Prognosis of Pseudogout in Joint Arthroplasty: A Retrospective Cohort Study. </w:t>
      </w:r>
      <w:r w:rsidRPr="00E40FE3">
        <w:rPr>
          <w:rFonts w:cs="Times New Roman"/>
          <w:i/>
          <w:iCs/>
          <w:szCs w:val="24"/>
        </w:rPr>
        <w:t>Journal of Bone and Joint Infection</w:t>
      </w:r>
      <w:r w:rsidRPr="00E40FE3">
        <w:rPr>
          <w:rFonts w:cs="Times New Roman"/>
          <w:szCs w:val="24"/>
        </w:rPr>
        <w:t xml:space="preserve">, </w:t>
      </w:r>
      <w:r w:rsidRPr="00E40FE3">
        <w:rPr>
          <w:rFonts w:cs="Times New Roman"/>
          <w:i/>
          <w:iCs/>
          <w:szCs w:val="24"/>
        </w:rPr>
        <w:t>4</w:t>
      </w:r>
      <w:r w:rsidRPr="00E40FE3">
        <w:rPr>
          <w:rFonts w:cs="Times New Roman"/>
          <w:szCs w:val="24"/>
        </w:rPr>
        <w:t xml:space="preserve">(1), 20-26. </w:t>
      </w:r>
      <w:hyperlink r:id="rId9" w:history="1">
        <w:r w:rsidRPr="00E40FE3">
          <w:rPr>
            <w:rStyle w:val="Hyperlink"/>
            <w:rFonts w:cs="Times New Roman"/>
            <w:szCs w:val="24"/>
          </w:rPr>
          <w:t>https://doi.org/10.7150/jbji.29983</w:t>
        </w:r>
      </w:hyperlink>
      <w:r w:rsidRPr="00E40FE3">
        <w:rPr>
          <w:rFonts w:cs="Times New Roman"/>
          <w:szCs w:val="24"/>
        </w:rPr>
        <w:t xml:space="preserve"> </w:t>
      </w:r>
    </w:p>
    <w:p w14:paraId="56135A06" w14:textId="77777777" w:rsidR="00E40FE3" w:rsidRPr="00E40FE3" w:rsidRDefault="00E40FE3" w:rsidP="002534FA">
      <w:pPr>
        <w:ind w:left="720" w:hanging="720"/>
        <w:rPr>
          <w:rFonts w:cs="Times New Roman"/>
          <w:szCs w:val="24"/>
        </w:rPr>
      </w:pPr>
      <w:r w:rsidRPr="00E40FE3">
        <w:rPr>
          <w:rFonts w:cs="Times New Roman"/>
          <w:szCs w:val="24"/>
        </w:rPr>
        <w:t xml:space="preserve">Guedes, V., Castro, J. P., &amp; Brito, I. (2018). Topical capsaicin for pain in osteoarthritis: A literature review. </w:t>
      </w:r>
      <w:proofErr w:type="spellStart"/>
      <w:r w:rsidRPr="00E40FE3">
        <w:rPr>
          <w:rFonts w:cs="Times New Roman"/>
          <w:i/>
          <w:iCs/>
          <w:szCs w:val="24"/>
        </w:rPr>
        <w:t>Reumatología</w:t>
      </w:r>
      <w:proofErr w:type="spellEnd"/>
      <w:r w:rsidRPr="00E40FE3">
        <w:rPr>
          <w:rFonts w:cs="Times New Roman"/>
          <w:i/>
          <w:iCs/>
          <w:szCs w:val="24"/>
        </w:rPr>
        <w:t xml:space="preserve"> </w:t>
      </w:r>
      <w:proofErr w:type="spellStart"/>
      <w:r w:rsidRPr="00E40FE3">
        <w:rPr>
          <w:rFonts w:cs="Times New Roman"/>
          <w:i/>
          <w:iCs/>
          <w:szCs w:val="24"/>
        </w:rPr>
        <w:t>Clínica</w:t>
      </w:r>
      <w:proofErr w:type="spellEnd"/>
      <w:r w:rsidRPr="00E40FE3">
        <w:rPr>
          <w:rFonts w:cs="Times New Roman"/>
          <w:i/>
          <w:iCs/>
          <w:szCs w:val="24"/>
        </w:rPr>
        <w:t xml:space="preserve"> (English Edition)</w:t>
      </w:r>
      <w:r w:rsidRPr="00E40FE3">
        <w:rPr>
          <w:rFonts w:cs="Times New Roman"/>
          <w:szCs w:val="24"/>
        </w:rPr>
        <w:t xml:space="preserve">, </w:t>
      </w:r>
      <w:r w:rsidRPr="00E40FE3">
        <w:rPr>
          <w:rFonts w:cs="Times New Roman"/>
          <w:i/>
          <w:iCs/>
          <w:szCs w:val="24"/>
        </w:rPr>
        <w:t>14</w:t>
      </w:r>
      <w:r w:rsidRPr="00E40FE3">
        <w:rPr>
          <w:rFonts w:cs="Times New Roman"/>
          <w:szCs w:val="24"/>
        </w:rPr>
        <w:t xml:space="preserve">(1), 40-45. </w:t>
      </w:r>
      <w:hyperlink r:id="rId10" w:history="1">
        <w:r w:rsidRPr="00E40FE3">
          <w:rPr>
            <w:rStyle w:val="Hyperlink"/>
            <w:rFonts w:cs="Times New Roman"/>
            <w:szCs w:val="24"/>
          </w:rPr>
          <w:t>https://doi.org/10.1016/j.reumae.2016.07.013</w:t>
        </w:r>
      </w:hyperlink>
      <w:r w:rsidRPr="00E40FE3">
        <w:rPr>
          <w:rFonts w:cs="Times New Roman"/>
          <w:szCs w:val="24"/>
        </w:rPr>
        <w:t xml:space="preserve"> </w:t>
      </w:r>
    </w:p>
    <w:p w14:paraId="3F716D4C" w14:textId="77777777" w:rsidR="00E40FE3" w:rsidRPr="00E40FE3" w:rsidRDefault="00E40FE3" w:rsidP="002534FA">
      <w:pPr>
        <w:ind w:left="720" w:hanging="720"/>
        <w:rPr>
          <w:rFonts w:cs="Times New Roman"/>
          <w:szCs w:val="24"/>
        </w:rPr>
      </w:pPr>
      <w:r w:rsidRPr="00E40FE3">
        <w:rPr>
          <w:rFonts w:cs="Times New Roman"/>
          <w:szCs w:val="24"/>
        </w:rPr>
        <w:t xml:space="preserve">Iqbal, S. M., Qadir, S., Aslam, H. M., &amp; Qadir, M. A. (2019). Updated Treatment for Calcium Pyrophosphate Deposition Disease: An Insight. </w:t>
      </w:r>
      <w:proofErr w:type="spellStart"/>
      <w:r w:rsidRPr="00E40FE3">
        <w:rPr>
          <w:rFonts w:cs="Times New Roman"/>
          <w:i/>
          <w:iCs/>
          <w:szCs w:val="24"/>
        </w:rPr>
        <w:t>Cureus</w:t>
      </w:r>
      <w:proofErr w:type="spellEnd"/>
      <w:r w:rsidRPr="00E40FE3">
        <w:rPr>
          <w:rFonts w:cs="Times New Roman"/>
          <w:szCs w:val="24"/>
        </w:rPr>
        <w:t xml:space="preserve">, </w:t>
      </w:r>
      <w:r w:rsidRPr="00E40FE3">
        <w:rPr>
          <w:rFonts w:cs="Times New Roman"/>
          <w:i/>
          <w:iCs/>
          <w:szCs w:val="24"/>
        </w:rPr>
        <w:t>11</w:t>
      </w:r>
      <w:r w:rsidRPr="00E40FE3">
        <w:rPr>
          <w:rFonts w:cs="Times New Roman"/>
          <w:szCs w:val="24"/>
        </w:rPr>
        <w:t xml:space="preserve">(1). </w:t>
      </w:r>
      <w:hyperlink r:id="rId11" w:history="1">
        <w:r w:rsidRPr="00E40FE3">
          <w:rPr>
            <w:rStyle w:val="Hyperlink"/>
            <w:rFonts w:cs="Times New Roman"/>
            <w:szCs w:val="24"/>
          </w:rPr>
          <w:t>https://doi.org/10.7759/cureus.3840</w:t>
        </w:r>
      </w:hyperlink>
      <w:r w:rsidRPr="00E40FE3">
        <w:rPr>
          <w:rFonts w:cs="Times New Roman"/>
          <w:szCs w:val="24"/>
        </w:rPr>
        <w:t xml:space="preserve"> </w:t>
      </w:r>
    </w:p>
    <w:p w14:paraId="7D7AE3A2" w14:textId="77777777" w:rsidR="00E40FE3" w:rsidRPr="00E40FE3" w:rsidRDefault="00E40FE3" w:rsidP="002534FA">
      <w:pPr>
        <w:ind w:left="720" w:hanging="720"/>
        <w:rPr>
          <w:rFonts w:cs="Times New Roman"/>
          <w:color w:val="212121"/>
          <w:szCs w:val="24"/>
          <w:shd w:val="clear" w:color="auto" w:fill="FFFFFF"/>
        </w:rPr>
      </w:pPr>
      <w:proofErr w:type="spellStart"/>
      <w:r w:rsidRPr="00E40FE3">
        <w:rPr>
          <w:rFonts w:cs="Times New Roman"/>
          <w:color w:val="212121"/>
          <w:szCs w:val="24"/>
          <w:shd w:val="clear" w:color="auto" w:fill="FFFFFF"/>
        </w:rPr>
        <w:t>Kolasinski</w:t>
      </w:r>
      <w:proofErr w:type="spellEnd"/>
      <w:r w:rsidRPr="00E40FE3">
        <w:rPr>
          <w:rFonts w:cs="Times New Roman"/>
          <w:color w:val="212121"/>
          <w:szCs w:val="24"/>
          <w:shd w:val="clear" w:color="auto" w:fill="FFFFFF"/>
        </w:rPr>
        <w:t xml:space="preserve">, S. L., </w:t>
      </w:r>
      <w:proofErr w:type="spellStart"/>
      <w:r w:rsidRPr="00E40FE3">
        <w:rPr>
          <w:rFonts w:cs="Times New Roman"/>
          <w:color w:val="212121"/>
          <w:szCs w:val="24"/>
          <w:shd w:val="clear" w:color="auto" w:fill="FFFFFF"/>
        </w:rPr>
        <w:t>Neogi</w:t>
      </w:r>
      <w:proofErr w:type="spellEnd"/>
      <w:r w:rsidRPr="00E40FE3">
        <w:rPr>
          <w:rFonts w:cs="Times New Roman"/>
          <w:color w:val="212121"/>
          <w:szCs w:val="24"/>
          <w:shd w:val="clear" w:color="auto" w:fill="FFFFFF"/>
        </w:rPr>
        <w:t xml:space="preserve">, T., Hochberg, M. C., </w:t>
      </w:r>
      <w:proofErr w:type="spellStart"/>
      <w:r w:rsidRPr="00E40FE3">
        <w:rPr>
          <w:rFonts w:cs="Times New Roman"/>
          <w:color w:val="212121"/>
          <w:szCs w:val="24"/>
          <w:shd w:val="clear" w:color="auto" w:fill="FFFFFF"/>
        </w:rPr>
        <w:t>Oatis</w:t>
      </w:r>
      <w:proofErr w:type="spellEnd"/>
      <w:r w:rsidRPr="00E40FE3">
        <w:rPr>
          <w:rFonts w:cs="Times New Roman"/>
          <w:color w:val="212121"/>
          <w:szCs w:val="24"/>
          <w:shd w:val="clear" w:color="auto" w:fill="FFFFFF"/>
        </w:rPr>
        <w:t xml:space="preserve">, C., </w:t>
      </w:r>
      <w:proofErr w:type="spellStart"/>
      <w:r w:rsidRPr="00E40FE3">
        <w:rPr>
          <w:rFonts w:cs="Times New Roman"/>
          <w:color w:val="212121"/>
          <w:szCs w:val="24"/>
          <w:shd w:val="clear" w:color="auto" w:fill="FFFFFF"/>
        </w:rPr>
        <w:t>Guyatt</w:t>
      </w:r>
      <w:proofErr w:type="spellEnd"/>
      <w:r w:rsidRPr="00E40FE3">
        <w:rPr>
          <w:rFonts w:cs="Times New Roman"/>
          <w:color w:val="212121"/>
          <w:szCs w:val="24"/>
          <w:shd w:val="clear" w:color="auto" w:fill="FFFFFF"/>
        </w:rPr>
        <w:t xml:space="preserve">, G., Block, J., Callahan, L., Copenhaver, C., Dodge, C., Felson, D., Gellar, K., Harvey, W. F., Hawker, G., Herzig, </w:t>
      </w:r>
      <w:r w:rsidRPr="00E40FE3">
        <w:rPr>
          <w:rFonts w:cs="Times New Roman"/>
          <w:color w:val="212121"/>
          <w:szCs w:val="24"/>
          <w:shd w:val="clear" w:color="auto" w:fill="FFFFFF"/>
        </w:rPr>
        <w:lastRenderedPageBreak/>
        <w:t xml:space="preserve">E., </w:t>
      </w:r>
      <w:proofErr w:type="spellStart"/>
      <w:r w:rsidRPr="00E40FE3">
        <w:rPr>
          <w:rFonts w:cs="Times New Roman"/>
          <w:color w:val="212121"/>
          <w:szCs w:val="24"/>
          <w:shd w:val="clear" w:color="auto" w:fill="FFFFFF"/>
        </w:rPr>
        <w:t>Kwoh</w:t>
      </w:r>
      <w:proofErr w:type="spellEnd"/>
      <w:r w:rsidRPr="00E40FE3">
        <w:rPr>
          <w:rFonts w:cs="Times New Roman"/>
          <w:color w:val="212121"/>
          <w:szCs w:val="24"/>
          <w:shd w:val="clear" w:color="auto" w:fill="FFFFFF"/>
        </w:rPr>
        <w:t xml:space="preserve">, C. K., Nelson, A. E., Samuels, J., </w:t>
      </w:r>
      <w:proofErr w:type="spellStart"/>
      <w:r w:rsidRPr="00E40FE3">
        <w:rPr>
          <w:rFonts w:cs="Times New Roman"/>
          <w:color w:val="212121"/>
          <w:szCs w:val="24"/>
          <w:shd w:val="clear" w:color="auto" w:fill="FFFFFF"/>
        </w:rPr>
        <w:t>Scanzello</w:t>
      </w:r>
      <w:proofErr w:type="spellEnd"/>
      <w:r w:rsidRPr="00E40FE3">
        <w:rPr>
          <w:rFonts w:cs="Times New Roman"/>
          <w:color w:val="212121"/>
          <w:szCs w:val="24"/>
          <w:shd w:val="clear" w:color="auto" w:fill="FFFFFF"/>
        </w:rPr>
        <w:t>, C., White, D., Wise, B., … Reston, J. (2020). 2019 American College of Rheumatology/Arthritis Foundation Guideline for the Management of Osteoarthritis of the Hand, Hip, and Knee. </w:t>
      </w:r>
      <w:r w:rsidRPr="00E40FE3">
        <w:rPr>
          <w:rFonts w:cs="Times New Roman"/>
          <w:i/>
          <w:iCs/>
          <w:color w:val="212121"/>
          <w:szCs w:val="24"/>
          <w:shd w:val="clear" w:color="auto" w:fill="FFFFFF"/>
        </w:rPr>
        <w:t>Arthritis &amp; rheumatology (Hoboken, N.J.)</w:t>
      </w:r>
      <w:r w:rsidRPr="00E40FE3">
        <w:rPr>
          <w:rFonts w:cs="Times New Roman"/>
          <w:color w:val="212121"/>
          <w:szCs w:val="24"/>
          <w:shd w:val="clear" w:color="auto" w:fill="FFFFFF"/>
        </w:rPr>
        <w:t>, </w:t>
      </w:r>
      <w:r w:rsidRPr="00E40FE3">
        <w:rPr>
          <w:rFonts w:cs="Times New Roman"/>
          <w:i/>
          <w:iCs/>
          <w:color w:val="212121"/>
          <w:szCs w:val="24"/>
          <w:shd w:val="clear" w:color="auto" w:fill="FFFFFF"/>
        </w:rPr>
        <w:t>72</w:t>
      </w:r>
      <w:r w:rsidRPr="00E40FE3">
        <w:rPr>
          <w:rFonts w:cs="Times New Roman"/>
          <w:color w:val="212121"/>
          <w:szCs w:val="24"/>
          <w:shd w:val="clear" w:color="auto" w:fill="FFFFFF"/>
        </w:rPr>
        <w:t xml:space="preserve">(2), 220–233. </w:t>
      </w:r>
      <w:hyperlink r:id="rId12" w:history="1">
        <w:r w:rsidRPr="00E40FE3">
          <w:rPr>
            <w:rStyle w:val="Hyperlink"/>
            <w:rFonts w:cs="Times New Roman"/>
            <w:szCs w:val="24"/>
            <w:shd w:val="clear" w:color="auto" w:fill="FFFFFF"/>
          </w:rPr>
          <w:t>https://doi.org/10.1002/art.41142</w:t>
        </w:r>
      </w:hyperlink>
      <w:r w:rsidRPr="00E40FE3">
        <w:rPr>
          <w:rFonts w:cs="Times New Roman"/>
          <w:color w:val="212121"/>
          <w:szCs w:val="24"/>
          <w:shd w:val="clear" w:color="auto" w:fill="FFFFFF"/>
        </w:rPr>
        <w:t xml:space="preserve"> </w:t>
      </w:r>
    </w:p>
    <w:p w14:paraId="6E7BB4AF" w14:textId="77777777" w:rsidR="00E40FE3" w:rsidRPr="00E40FE3" w:rsidRDefault="00E40FE3" w:rsidP="002534FA">
      <w:pPr>
        <w:ind w:left="720" w:hanging="720"/>
        <w:rPr>
          <w:rFonts w:cs="Times New Roman"/>
          <w:szCs w:val="24"/>
        </w:rPr>
      </w:pPr>
      <w:proofErr w:type="spellStart"/>
      <w:r w:rsidRPr="00E40FE3">
        <w:rPr>
          <w:rFonts w:cs="Times New Roman"/>
          <w:szCs w:val="24"/>
        </w:rPr>
        <w:t>Kronzer</w:t>
      </w:r>
      <w:proofErr w:type="spellEnd"/>
      <w:r w:rsidRPr="00E40FE3">
        <w:rPr>
          <w:rFonts w:cs="Times New Roman"/>
          <w:szCs w:val="24"/>
        </w:rPr>
        <w:t xml:space="preserve">, V. L., Crowson, C. S., Sparks, J. A., </w:t>
      </w:r>
      <w:proofErr w:type="spellStart"/>
      <w:r w:rsidRPr="00E40FE3">
        <w:rPr>
          <w:rFonts w:cs="Times New Roman"/>
          <w:szCs w:val="24"/>
        </w:rPr>
        <w:t>Myasoedova</w:t>
      </w:r>
      <w:proofErr w:type="spellEnd"/>
      <w:r w:rsidRPr="00E40FE3">
        <w:rPr>
          <w:rFonts w:cs="Times New Roman"/>
          <w:szCs w:val="24"/>
        </w:rPr>
        <w:t xml:space="preserve">, E., &amp; John Davis, I. (2021). Family history of rheumatologic, autoimmune, and non-autoimmune diseases and risk of rheumatoid arthritis. </w:t>
      </w:r>
      <w:r w:rsidRPr="00E40FE3">
        <w:rPr>
          <w:rFonts w:cs="Times New Roman"/>
          <w:i/>
          <w:iCs/>
          <w:szCs w:val="24"/>
        </w:rPr>
        <w:t>Arthritis care &amp; research</w:t>
      </w:r>
      <w:r w:rsidRPr="00E40FE3">
        <w:rPr>
          <w:rFonts w:cs="Times New Roman"/>
          <w:szCs w:val="24"/>
        </w:rPr>
        <w:t xml:space="preserve">, </w:t>
      </w:r>
      <w:r w:rsidRPr="00E40FE3">
        <w:rPr>
          <w:rFonts w:cs="Times New Roman"/>
          <w:i/>
          <w:iCs/>
          <w:szCs w:val="24"/>
        </w:rPr>
        <w:t>73</w:t>
      </w:r>
      <w:r w:rsidRPr="00E40FE3">
        <w:rPr>
          <w:rFonts w:cs="Times New Roman"/>
          <w:szCs w:val="24"/>
        </w:rPr>
        <w:t xml:space="preserve">(2), 180. </w:t>
      </w:r>
      <w:hyperlink r:id="rId13" w:history="1">
        <w:r w:rsidRPr="00E40FE3">
          <w:rPr>
            <w:rStyle w:val="Hyperlink"/>
            <w:rFonts w:cs="Times New Roman"/>
            <w:szCs w:val="24"/>
          </w:rPr>
          <w:t>https://doi.org/10.1002/acr.24115</w:t>
        </w:r>
      </w:hyperlink>
      <w:r w:rsidRPr="00E40FE3">
        <w:rPr>
          <w:rFonts w:cs="Times New Roman"/>
          <w:szCs w:val="24"/>
        </w:rPr>
        <w:t xml:space="preserve"> </w:t>
      </w:r>
    </w:p>
    <w:p w14:paraId="1ACFA113" w14:textId="77777777" w:rsidR="00E40FE3" w:rsidRPr="00E40FE3" w:rsidRDefault="00E40FE3" w:rsidP="002534FA">
      <w:pPr>
        <w:ind w:left="720" w:hanging="720"/>
        <w:rPr>
          <w:rFonts w:cs="Times New Roman"/>
          <w:szCs w:val="24"/>
        </w:rPr>
      </w:pPr>
      <w:proofErr w:type="spellStart"/>
      <w:r w:rsidRPr="00E40FE3">
        <w:rPr>
          <w:rFonts w:cs="Times New Roman"/>
          <w:szCs w:val="24"/>
        </w:rPr>
        <w:t>Lahu</w:t>
      </w:r>
      <w:proofErr w:type="spellEnd"/>
      <w:r w:rsidRPr="00E40FE3">
        <w:rPr>
          <w:rFonts w:cs="Times New Roman"/>
          <w:szCs w:val="24"/>
        </w:rPr>
        <w:t xml:space="preserve">, A., </w:t>
      </w:r>
      <w:proofErr w:type="spellStart"/>
      <w:r w:rsidRPr="00E40FE3">
        <w:rPr>
          <w:rFonts w:cs="Times New Roman"/>
          <w:szCs w:val="24"/>
        </w:rPr>
        <w:t>Backa</w:t>
      </w:r>
      <w:proofErr w:type="spellEnd"/>
      <w:r w:rsidRPr="00E40FE3">
        <w:rPr>
          <w:rFonts w:cs="Times New Roman"/>
          <w:szCs w:val="24"/>
        </w:rPr>
        <w:t xml:space="preserve">, T., Ismaili, J., </w:t>
      </w:r>
      <w:proofErr w:type="spellStart"/>
      <w:r w:rsidRPr="00E40FE3">
        <w:rPr>
          <w:rFonts w:cs="Times New Roman"/>
          <w:szCs w:val="24"/>
        </w:rPr>
        <w:t>Lahu</w:t>
      </w:r>
      <w:proofErr w:type="spellEnd"/>
      <w:r w:rsidRPr="00E40FE3">
        <w:rPr>
          <w:rFonts w:cs="Times New Roman"/>
          <w:szCs w:val="24"/>
        </w:rPr>
        <w:t xml:space="preserve">, V., &amp; </w:t>
      </w:r>
      <w:proofErr w:type="spellStart"/>
      <w:r w:rsidRPr="00E40FE3">
        <w:rPr>
          <w:rFonts w:cs="Times New Roman"/>
          <w:szCs w:val="24"/>
        </w:rPr>
        <w:t>Saiti</w:t>
      </w:r>
      <w:proofErr w:type="spellEnd"/>
      <w:r w:rsidRPr="00E40FE3">
        <w:rPr>
          <w:rFonts w:cs="Times New Roman"/>
          <w:szCs w:val="24"/>
        </w:rPr>
        <w:t>, V. (201</w:t>
      </w:r>
      <w:r w:rsidRPr="00E40FE3">
        <w:rPr>
          <w:rFonts w:cs="Times New Roman"/>
          <w:szCs w:val="24"/>
        </w:rPr>
        <w:t>9</w:t>
      </w:r>
      <w:r w:rsidRPr="00E40FE3">
        <w:rPr>
          <w:rFonts w:cs="Times New Roman"/>
          <w:szCs w:val="24"/>
        </w:rPr>
        <w:t xml:space="preserve">). Modes of Presentation of Reactive Arthritis Based on the Affected Joints. </w:t>
      </w:r>
      <w:r w:rsidRPr="00E40FE3">
        <w:rPr>
          <w:rFonts w:cs="Times New Roman"/>
          <w:i/>
          <w:iCs/>
          <w:szCs w:val="24"/>
        </w:rPr>
        <w:t>Medical Archives</w:t>
      </w:r>
      <w:r w:rsidRPr="00E40FE3">
        <w:rPr>
          <w:rFonts w:cs="Times New Roman"/>
          <w:szCs w:val="24"/>
        </w:rPr>
        <w:t xml:space="preserve">, </w:t>
      </w:r>
      <w:r w:rsidRPr="00E40FE3">
        <w:rPr>
          <w:rFonts w:cs="Times New Roman"/>
          <w:i/>
          <w:iCs/>
          <w:szCs w:val="24"/>
        </w:rPr>
        <w:t>69</w:t>
      </w:r>
      <w:r w:rsidRPr="00E40FE3">
        <w:rPr>
          <w:rFonts w:cs="Times New Roman"/>
          <w:szCs w:val="24"/>
        </w:rPr>
        <w:t xml:space="preserve">(1), 42-45. </w:t>
      </w:r>
      <w:hyperlink r:id="rId14" w:history="1">
        <w:r w:rsidRPr="00E40FE3">
          <w:rPr>
            <w:rStyle w:val="Hyperlink"/>
            <w:rFonts w:cs="Times New Roman"/>
            <w:szCs w:val="24"/>
          </w:rPr>
          <w:t>https://doi.org/10.5455/medarh.201</w:t>
        </w:r>
        <w:r w:rsidRPr="00E40FE3">
          <w:rPr>
            <w:rStyle w:val="Hyperlink"/>
            <w:rFonts w:cs="Times New Roman"/>
            <w:szCs w:val="24"/>
          </w:rPr>
          <w:t>9</w:t>
        </w:r>
        <w:r w:rsidRPr="00E40FE3">
          <w:rPr>
            <w:rStyle w:val="Hyperlink"/>
            <w:rFonts w:cs="Times New Roman"/>
            <w:szCs w:val="24"/>
          </w:rPr>
          <w:t>.69.42-45</w:t>
        </w:r>
      </w:hyperlink>
      <w:r w:rsidRPr="00E40FE3">
        <w:rPr>
          <w:rFonts w:cs="Times New Roman"/>
          <w:szCs w:val="24"/>
        </w:rPr>
        <w:t xml:space="preserve"> </w:t>
      </w:r>
    </w:p>
    <w:p w14:paraId="2A63275A" w14:textId="77777777" w:rsidR="00E40FE3" w:rsidRPr="00E40FE3" w:rsidRDefault="00E40FE3" w:rsidP="002534FA">
      <w:pPr>
        <w:ind w:left="720" w:hanging="720"/>
        <w:rPr>
          <w:rFonts w:cs="Times New Roman"/>
          <w:szCs w:val="24"/>
        </w:rPr>
      </w:pPr>
      <w:r w:rsidRPr="00E40FE3">
        <w:rPr>
          <w:rFonts w:cs="Times New Roman"/>
          <w:szCs w:val="24"/>
        </w:rPr>
        <w:t xml:space="preserve">Lin, J., </w:t>
      </w:r>
      <w:proofErr w:type="spellStart"/>
      <w:r w:rsidRPr="00E40FE3">
        <w:rPr>
          <w:rFonts w:cs="Times New Roman"/>
          <w:szCs w:val="24"/>
        </w:rPr>
        <w:t>Anzaghe</w:t>
      </w:r>
      <w:proofErr w:type="spellEnd"/>
      <w:r w:rsidRPr="00E40FE3">
        <w:rPr>
          <w:rFonts w:cs="Times New Roman"/>
          <w:szCs w:val="24"/>
        </w:rPr>
        <w:t xml:space="preserve">, M., &amp; </w:t>
      </w:r>
      <w:proofErr w:type="spellStart"/>
      <w:r w:rsidRPr="00E40FE3">
        <w:rPr>
          <w:rFonts w:cs="Times New Roman"/>
          <w:szCs w:val="24"/>
        </w:rPr>
        <w:t>Schülke</w:t>
      </w:r>
      <w:proofErr w:type="spellEnd"/>
      <w:r w:rsidRPr="00E40FE3">
        <w:rPr>
          <w:rFonts w:cs="Times New Roman"/>
          <w:szCs w:val="24"/>
        </w:rPr>
        <w:t xml:space="preserve">, S. (2020). Update on the </w:t>
      </w:r>
      <w:proofErr w:type="spellStart"/>
      <w:r w:rsidRPr="00E40FE3">
        <w:rPr>
          <w:rFonts w:cs="Times New Roman"/>
          <w:szCs w:val="24"/>
        </w:rPr>
        <w:t>Pathomechanism</w:t>
      </w:r>
      <w:proofErr w:type="spellEnd"/>
      <w:r w:rsidRPr="00E40FE3">
        <w:rPr>
          <w:rFonts w:cs="Times New Roman"/>
          <w:szCs w:val="24"/>
        </w:rPr>
        <w:t xml:space="preserve">, Diagnosis, and Treatment Options for Rheumatoid Arthritis. </w:t>
      </w:r>
      <w:r w:rsidRPr="00E40FE3">
        <w:rPr>
          <w:rFonts w:cs="Times New Roman"/>
          <w:i/>
          <w:iCs/>
          <w:szCs w:val="24"/>
        </w:rPr>
        <w:t>Cells</w:t>
      </w:r>
      <w:r w:rsidRPr="00E40FE3">
        <w:rPr>
          <w:rFonts w:cs="Times New Roman"/>
          <w:szCs w:val="24"/>
        </w:rPr>
        <w:t xml:space="preserve">, </w:t>
      </w:r>
      <w:r w:rsidRPr="00E40FE3">
        <w:rPr>
          <w:rFonts w:cs="Times New Roman"/>
          <w:i/>
          <w:iCs/>
          <w:szCs w:val="24"/>
        </w:rPr>
        <w:t>9</w:t>
      </w:r>
      <w:r w:rsidRPr="00E40FE3">
        <w:rPr>
          <w:rFonts w:cs="Times New Roman"/>
          <w:szCs w:val="24"/>
        </w:rPr>
        <w:t xml:space="preserve">(4). </w:t>
      </w:r>
      <w:hyperlink r:id="rId15" w:history="1">
        <w:r w:rsidRPr="00E40FE3">
          <w:rPr>
            <w:rStyle w:val="Hyperlink"/>
            <w:rFonts w:cs="Times New Roman"/>
            <w:szCs w:val="24"/>
          </w:rPr>
          <w:t>https://doi.org/10.3390/cells9040880</w:t>
        </w:r>
      </w:hyperlink>
      <w:r w:rsidRPr="00E40FE3">
        <w:rPr>
          <w:rFonts w:cs="Times New Roman"/>
          <w:szCs w:val="24"/>
        </w:rPr>
        <w:t xml:space="preserve"> </w:t>
      </w:r>
    </w:p>
    <w:p w14:paraId="38E96C2E" w14:textId="77777777" w:rsidR="00E40FE3" w:rsidRPr="00E40FE3" w:rsidRDefault="00E40FE3" w:rsidP="002534FA">
      <w:pPr>
        <w:ind w:left="720" w:hanging="720"/>
        <w:rPr>
          <w:rFonts w:cs="Times New Roman"/>
          <w:szCs w:val="24"/>
        </w:rPr>
      </w:pPr>
      <w:r w:rsidRPr="00E40FE3">
        <w:rPr>
          <w:rFonts w:cs="Times New Roman"/>
          <w:szCs w:val="24"/>
        </w:rPr>
        <w:t xml:space="preserve">Mora, J. C., </w:t>
      </w:r>
      <w:proofErr w:type="spellStart"/>
      <w:r w:rsidRPr="00E40FE3">
        <w:rPr>
          <w:rFonts w:cs="Times New Roman"/>
          <w:szCs w:val="24"/>
        </w:rPr>
        <w:t>Przkora</w:t>
      </w:r>
      <w:proofErr w:type="spellEnd"/>
      <w:r w:rsidRPr="00E40FE3">
        <w:rPr>
          <w:rFonts w:cs="Times New Roman"/>
          <w:szCs w:val="24"/>
        </w:rPr>
        <w:t xml:space="preserve">, R., &amp; Cruz-Almeida, Y. (2018). Knee osteoarthritis: Pathophysiology and current treatment modalities. </w:t>
      </w:r>
      <w:r w:rsidRPr="00E40FE3">
        <w:rPr>
          <w:rFonts w:cs="Times New Roman"/>
          <w:i/>
          <w:iCs/>
          <w:szCs w:val="24"/>
        </w:rPr>
        <w:t>Journal of Pain Research</w:t>
      </w:r>
      <w:r w:rsidRPr="00E40FE3">
        <w:rPr>
          <w:rFonts w:cs="Times New Roman"/>
          <w:szCs w:val="24"/>
        </w:rPr>
        <w:t xml:space="preserve">, </w:t>
      </w:r>
      <w:r w:rsidRPr="00E40FE3">
        <w:rPr>
          <w:rFonts w:cs="Times New Roman"/>
          <w:i/>
          <w:iCs/>
          <w:szCs w:val="24"/>
        </w:rPr>
        <w:t>11</w:t>
      </w:r>
      <w:r w:rsidRPr="00E40FE3">
        <w:rPr>
          <w:rFonts w:cs="Times New Roman"/>
          <w:szCs w:val="24"/>
        </w:rPr>
        <w:t xml:space="preserve">, 2189-2196. </w:t>
      </w:r>
      <w:hyperlink r:id="rId16" w:history="1">
        <w:r w:rsidRPr="00E40FE3">
          <w:rPr>
            <w:rStyle w:val="Hyperlink"/>
            <w:rFonts w:cs="Times New Roman"/>
            <w:szCs w:val="24"/>
          </w:rPr>
          <w:t>https://doi.org/10.2147/JPR.S154002</w:t>
        </w:r>
      </w:hyperlink>
      <w:r w:rsidRPr="00E40FE3">
        <w:rPr>
          <w:rFonts w:cs="Times New Roman"/>
          <w:szCs w:val="24"/>
        </w:rPr>
        <w:t xml:space="preserve"> </w:t>
      </w:r>
    </w:p>
    <w:p w14:paraId="6DE7FB4C" w14:textId="77777777" w:rsidR="00E40FE3" w:rsidRPr="00E40FE3" w:rsidRDefault="00E40FE3" w:rsidP="002534FA">
      <w:pPr>
        <w:ind w:left="720" w:hanging="720"/>
        <w:rPr>
          <w:rFonts w:cs="Times New Roman"/>
          <w:color w:val="666666"/>
          <w:szCs w:val="24"/>
          <w:shd w:val="clear" w:color="auto" w:fill="FFFFFF"/>
        </w:rPr>
      </w:pPr>
      <w:r w:rsidRPr="00E40FE3">
        <w:rPr>
          <w:rFonts w:cs="Times New Roman"/>
          <w:color w:val="222222"/>
          <w:szCs w:val="24"/>
          <w:shd w:val="clear" w:color="auto" w:fill="FFFFFF"/>
        </w:rPr>
        <w:t>Sharma, L. (2021). Osteoarthritis of the knee. </w:t>
      </w:r>
      <w:r w:rsidRPr="00E40FE3">
        <w:rPr>
          <w:rFonts w:cs="Times New Roman"/>
          <w:i/>
          <w:iCs/>
          <w:color w:val="222222"/>
          <w:szCs w:val="24"/>
          <w:shd w:val="clear" w:color="auto" w:fill="FFFFFF"/>
        </w:rPr>
        <w:t>New England Journal of Medicine</w:t>
      </w:r>
      <w:r w:rsidRPr="00E40FE3">
        <w:rPr>
          <w:rFonts w:cs="Times New Roman"/>
          <w:color w:val="222222"/>
          <w:szCs w:val="24"/>
          <w:shd w:val="clear" w:color="auto" w:fill="FFFFFF"/>
        </w:rPr>
        <w:t>, </w:t>
      </w:r>
      <w:r w:rsidRPr="00E40FE3">
        <w:rPr>
          <w:rFonts w:cs="Times New Roman"/>
          <w:i/>
          <w:iCs/>
          <w:color w:val="222222"/>
          <w:szCs w:val="24"/>
          <w:shd w:val="clear" w:color="auto" w:fill="FFFFFF"/>
        </w:rPr>
        <w:t>384</w:t>
      </w:r>
      <w:r w:rsidRPr="00E40FE3">
        <w:rPr>
          <w:rFonts w:cs="Times New Roman"/>
          <w:color w:val="222222"/>
          <w:szCs w:val="24"/>
          <w:shd w:val="clear" w:color="auto" w:fill="FFFFFF"/>
        </w:rPr>
        <w:t>(1), 51-59.</w:t>
      </w:r>
      <w:r w:rsidRPr="00E40FE3">
        <w:rPr>
          <w:rFonts w:cs="Times New Roman"/>
          <w:color w:val="222222"/>
          <w:szCs w:val="24"/>
          <w:shd w:val="clear" w:color="auto" w:fill="FFFFFF"/>
        </w:rPr>
        <w:t xml:space="preserve"> </w:t>
      </w:r>
      <w:hyperlink r:id="rId17" w:history="1">
        <w:r w:rsidRPr="00E40FE3">
          <w:rPr>
            <w:rStyle w:val="Hyperlink"/>
            <w:rFonts w:cs="Times New Roman"/>
            <w:szCs w:val="24"/>
            <w:shd w:val="clear" w:color="auto" w:fill="FFFFFF"/>
          </w:rPr>
          <w:t>https://doi.org/</w:t>
        </w:r>
        <w:r w:rsidRPr="00E40FE3">
          <w:rPr>
            <w:rStyle w:val="Hyperlink"/>
            <w:rFonts w:cs="Times New Roman"/>
            <w:szCs w:val="24"/>
            <w:shd w:val="clear" w:color="auto" w:fill="FFFFFF"/>
          </w:rPr>
          <w:t>10.1056/NEJMcp1903768</w:t>
        </w:r>
      </w:hyperlink>
      <w:r w:rsidRPr="00E40FE3">
        <w:rPr>
          <w:rFonts w:cs="Times New Roman"/>
          <w:color w:val="666666"/>
          <w:szCs w:val="24"/>
          <w:shd w:val="clear" w:color="auto" w:fill="FFFFFF"/>
        </w:rPr>
        <w:t xml:space="preserve"> </w:t>
      </w:r>
    </w:p>
    <w:p w14:paraId="77A08399" w14:textId="77777777" w:rsidR="00E40FE3" w:rsidRPr="00E40FE3" w:rsidRDefault="00E40FE3" w:rsidP="002534FA">
      <w:pPr>
        <w:ind w:left="720" w:hanging="720"/>
        <w:rPr>
          <w:rFonts w:cs="Times New Roman"/>
          <w:szCs w:val="24"/>
        </w:rPr>
      </w:pPr>
      <w:r w:rsidRPr="00E40FE3">
        <w:rPr>
          <w:rFonts w:cs="Times New Roman"/>
          <w:color w:val="222222"/>
          <w:szCs w:val="24"/>
          <w:shd w:val="clear" w:color="auto" w:fill="FFFFFF"/>
        </w:rPr>
        <w:t xml:space="preserve">Testa, G., </w:t>
      </w:r>
      <w:proofErr w:type="spellStart"/>
      <w:r w:rsidRPr="00E40FE3">
        <w:rPr>
          <w:rFonts w:cs="Times New Roman"/>
          <w:color w:val="222222"/>
          <w:szCs w:val="24"/>
          <w:shd w:val="clear" w:color="auto" w:fill="FFFFFF"/>
        </w:rPr>
        <w:t>Giardina</w:t>
      </w:r>
      <w:proofErr w:type="spellEnd"/>
      <w:r w:rsidRPr="00E40FE3">
        <w:rPr>
          <w:rFonts w:cs="Times New Roman"/>
          <w:color w:val="222222"/>
          <w:szCs w:val="24"/>
          <w:shd w:val="clear" w:color="auto" w:fill="FFFFFF"/>
        </w:rPr>
        <w:t xml:space="preserve">, S. M. C., </w:t>
      </w:r>
      <w:proofErr w:type="spellStart"/>
      <w:r w:rsidRPr="00E40FE3">
        <w:rPr>
          <w:rFonts w:cs="Times New Roman"/>
          <w:color w:val="222222"/>
          <w:szCs w:val="24"/>
          <w:shd w:val="clear" w:color="auto" w:fill="FFFFFF"/>
        </w:rPr>
        <w:t>Culmone</w:t>
      </w:r>
      <w:proofErr w:type="spellEnd"/>
      <w:r w:rsidRPr="00E40FE3">
        <w:rPr>
          <w:rFonts w:cs="Times New Roman"/>
          <w:color w:val="222222"/>
          <w:szCs w:val="24"/>
          <w:shd w:val="clear" w:color="auto" w:fill="FFFFFF"/>
        </w:rPr>
        <w:t xml:space="preserve">, A., </w:t>
      </w:r>
      <w:proofErr w:type="spellStart"/>
      <w:r w:rsidRPr="00E40FE3">
        <w:rPr>
          <w:rFonts w:cs="Times New Roman"/>
          <w:color w:val="222222"/>
          <w:szCs w:val="24"/>
          <w:shd w:val="clear" w:color="auto" w:fill="FFFFFF"/>
        </w:rPr>
        <w:t>Vescio</w:t>
      </w:r>
      <w:proofErr w:type="spellEnd"/>
      <w:r w:rsidRPr="00E40FE3">
        <w:rPr>
          <w:rFonts w:cs="Times New Roman"/>
          <w:color w:val="222222"/>
          <w:szCs w:val="24"/>
          <w:shd w:val="clear" w:color="auto" w:fill="FFFFFF"/>
        </w:rPr>
        <w:t xml:space="preserve">, A., </w:t>
      </w:r>
      <w:proofErr w:type="spellStart"/>
      <w:r w:rsidRPr="00E40FE3">
        <w:rPr>
          <w:rFonts w:cs="Times New Roman"/>
          <w:color w:val="222222"/>
          <w:szCs w:val="24"/>
          <w:shd w:val="clear" w:color="auto" w:fill="FFFFFF"/>
        </w:rPr>
        <w:t>Turchetta</w:t>
      </w:r>
      <w:proofErr w:type="spellEnd"/>
      <w:r w:rsidRPr="00E40FE3">
        <w:rPr>
          <w:rFonts w:cs="Times New Roman"/>
          <w:color w:val="222222"/>
          <w:szCs w:val="24"/>
          <w:shd w:val="clear" w:color="auto" w:fill="FFFFFF"/>
        </w:rPr>
        <w:t xml:space="preserve">, M., </w:t>
      </w:r>
      <w:proofErr w:type="spellStart"/>
      <w:r w:rsidRPr="00E40FE3">
        <w:rPr>
          <w:rFonts w:cs="Times New Roman"/>
          <w:color w:val="222222"/>
          <w:szCs w:val="24"/>
          <w:shd w:val="clear" w:color="auto" w:fill="FFFFFF"/>
        </w:rPr>
        <w:t>Cannavò</w:t>
      </w:r>
      <w:proofErr w:type="spellEnd"/>
      <w:r w:rsidRPr="00E40FE3">
        <w:rPr>
          <w:rFonts w:cs="Times New Roman"/>
          <w:color w:val="222222"/>
          <w:szCs w:val="24"/>
          <w:shd w:val="clear" w:color="auto" w:fill="FFFFFF"/>
        </w:rPr>
        <w:t xml:space="preserve">, S., &amp; </w:t>
      </w:r>
      <w:proofErr w:type="spellStart"/>
      <w:r w:rsidRPr="00E40FE3">
        <w:rPr>
          <w:rFonts w:cs="Times New Roman"/>
          <w:color w:val="222222"/>
          <w:szCs w:val="24"/>
          <w:shd w:val="clear" w:color="auto" w:fill="FFFFFF"/>
        </w:rPr>
        <w:t>Pavone</w:t>
      </w:r>
      <w:proofErr w:type="spellEnd"/>
      <w:r w:rsidRPr="00E40FE3">
        <w:rPr>
          <w:rFonts w:cs="Times New Roman"/>
          <w:color w:val="222222"/>
          <w:szCs w:val="24"/>
          <w:shd w:val="clear" w:color="auto" w:fill="FFFFFF"/>
        </w:rPr>
        <w:t>, V. (2021). Intra-articular injections in knee osteoarthritis: A review of literature. </w:t>
      </w:r>
      <w:r w:rsidRPr="00E40FE3">
        <w:rPr>
          <w:rFonts w:cs="Times New Roman"/>
          <w:i/>
          <w:iCs/>
          <w:color w:val="222222"/>
          <w:szCs w:val="24"/>
          <w:shd w:val="clear" w:color="auto" w:fill="FFFFFF"/>
        </w:rPr>
        <w:t>Journal of functional morphology and kinesiology</w:t>
      </w:r>
      <w:r w:rsidRPr="00E40FE3">
        <w:rPr>
          <w:rFonts w:cs="Times New Roman"/>
          <w:color w:val="222222"/>
          <w:szCs w:val="24"/>
          <w:shd w:val="clear" w:color="auto" w:fill="FFFFFF"/>
        </w:rPr>
        <w:t>, </w:t>
      </w:r>
      <w:r w:rsidRPr="00E40FE3">
        <w:rPr>
          <w:rFonts w:cs="Times New Roman"/>
          <w:i/>
          <w:iCs/>
          <w:color w:val="222222"/>
          <w:szCs w:val="24"/>
          <w:shd w:val="clear" w:color="auto" w:fill="FFFFFF"/>
        </w:rPr>
        <w:t>6</w:t>
      </w:r>
      <w:r w:rsidRPr="00E40FE3">
        <w:rPr>
          <w:rFonts w:cs="Times New Roman"/>
          <w:color w:val="222222"/>
          <w:szCs w:val="24"/>
          <w:shd w:val="clear" w:color="auto" w:fill="FFFFFF"/>
        </w:rPr>
        <w:t>(1), 15.</w:t>
      </w:r>
      <w:r w:rsidRPr="00E40FE3">
        <w:rPr>
          <w:rFonts w:cs="Times New Roman"/>
          <w:color w:val="222222"/>
          <w:szCs w:val="24"/>
          <w:shd w:val="clear" w:color="auto" w:fill="FFFFFF"/>
        </w:rPr>
        <w:t xml:space="preserve"> </w:t>
      </w:r>
      <w:hyperlink r:id="rId18" w:history="1">
        <w:r w:rsidRPr="00E40FE3">
          <w:rPr>
            <w:rStyle w:val="Hyperlink"/>
            <w:rFonts w:cs="Times New Roman"/>
            <w:szCs w:val="24"/>
            <w:shd w:val="clear" w:color="auto" w:fill="FFFFFF"/>
          </w:rPr>
          <w:t>https://doi.org/10.3390/jfmk6010015</w:t>
        </w:r>
      </w:hyperlink>
      <w:r w:rsidRPr="00E40FE3">
        <w:rPr>
          <w:rFonts w:cs="Times New Roman"/>
          <w:color w:val="222222"/>
          <w:szCs w:val="24"/>
          <w:shd w:val="clear" w:color="auto" w:fill="FFFFFF"/>
        </w:rPr>
        <w:t xml:space="preserve"> </w:t>
      </w:r>
    </w:p>
    <w:sectPr w:rsidR="00E40FE3" w:rsidRPr="00E40F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53A9"/>
    <w:multiLevelType w:val="hybridMultilevel"/>
    <w:tmpl w:val="7E0624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B751F8E"/>
    <w:multiLevelType w:val="hybridMultilevel"/>
    <w:tmpl w:val="B56475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9876DAA"/>
    <w:multiLevelType w:val="hybridMultilevel"/>
    <w:tmpl w:val="91D4D7BE"/>
    <w:lvl w:ilvl="0" w:tplc="FCCE1F42">
      <w:start w:val="8"/>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25E1D99"/>
    <w:multiLevelType w:val="hybridMultilevel"/>
    <w:tmpl w:val="B8CE5AF4"/>
    <w:lvl w:ilvl="0" w:tplc="77CA0E08">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32103052">
    <w:abstractNumId w:val="2"/>
  </w:num>
  <w:num w:numId="2" w16cid:durableId="758984312">
    <w:abstractNumId w:val="3"/>
  </w:num>
  <w:num w:numId="3" w16cid:durableId="1716811920">
    <w:abstractNumId w:val="1"/>
  </w:num>
  <w:num w:numId="4" w16cid:durableId="125096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FA"/>
    <w:rsid w:val="000026C4"/>
    <w:rsid w:val="0006306D"/>
    <w:rsid w:val="0006575D"/>
    <w:rsid w:val="00065873"/>
    <w:rsid w:val="00070102"/>
    <w:rsid w:val="000B0C34"/>
    <w:rsid w:val="000B1A4D"/>
    <w:rsid w:val="000B2CB6"/>
    <w:rsid w:val="000B3A2D"/>
    <w:rsid w:val="000D65E3"/>
    <w:rsid w:val="000E09BF"/>
    <w:rsid w:val="000E6333"/>
    <w:rsid w:val="000F79AD"/>
    <w:rsid w:val="00113860"/>
    <w:rsid w:val="001723BE"/>
    <w:rsid w:val="00172F63"/>
    <w:rsid w:val="0018612E"/>
    <w:rsid w:val="0019483D"/>
    <w:rsid w:val="001B458C"/>
    <w:rsid w:val="001F49EE"/>
    <w:rsid w:val="001F7EF1"/>
    <w:rsid w:val="00211524"/>
    <w:rsid w:val="00247A04"/>
    <w:rsid w:val="002534FA"/>
    <w:rsid w:val="00256F45"/>
    <w:rsid w:val="00266B5F"/>
    <w:rsid w:val="00275B01"/>
    <w:rsid w:val="002E2FDE"/>
    <w:rsid w:val="002E4E09"/>
    <w:rsid w:val="00303D16"/>
    <w:rsid w:val="00304C98"/>
    <w:rsid w:val="00330B5A"/>
    <w:rsid w:val="00335D5C"/>
    <w:rsid w:val="003424FB"/>
    <w:rsid w:val="003674C9"/>
    <w:rsid w:val="003A5BF2"/>
    <w:rsid w:val="003B606B"/>
    <w:rsid w:val="003C3367"/>
    <w:rsid w:val="003C4F5A"/>
    <w:rsid w:val="003D02AF"/>
    <w:rsid w:val="003D2C0E"/>
    <w:rsid w:val="003F3209"/>
    <w:rsid w:val="00431102"/>
    <w:rsid w:val="004317D2"/>
    <w:rsid w:val="00456DEA"/>
    <w:rsid w:val="0047082A"/>
    <w:rsid w:val="00475BAD"/>
    <w:rsid w:val="0048236B"/>
    <w:rsid w:val="0048290D"/>
    <w:rsid w:val="00491214"/>
    <w:rsid w:val="00496BA2"/>
    <w:rsid w:val="004A7790"/>
    <w:rsid w:val="004B3049"/>
    <w:rsid w:val="004B63DD"/>
    <w:rsid w:val="004C2AE1"/>
    <w:rsid w:val="0050681E"/>
    <w:rsid w:val="00506BCE"/>
    <w:rsid w:val="00525E77"/>
    <w:rsid w:val="0053768F"/>
    <w:rsid w:val="005A2A4C"/>
    <w:rsid w:val="005B5546"/>
    <w:rsid w:val="005C2311"/>
    <w:rsid w:val="005E66CB"/>
    <w:rsid w:val="005F1051"/>
    <w:rsid w:val="00620F02"/>
    <w:rsid w:val="0062208E"/>
    <w:rsid w:val="006401CE"/>
    <w:rsid w:val="00656400"/>
    <w:rsid w:val="00683230"/>
    <w:rsid w:val="006B49FD"/>
    <w:rsid w:val="006C17CA"/>
    <w:rsid w:val="006D2803"/>
    <w:rsid w:val="00700A55"/>
    <w:rsid w:val="007207A3"/>
    <w:rsid w:val="00752B94"/>
    <w:rsid w:val="007542D6"/>
    <w:rsid w:val="007611B4"/>
    <w:rsid w:val="00762C8A"/>
    <w:rsid w:val="007B3683"/>
    <w:rsid w:val="007B5AA8"/>
    <w:rsid w:val="007C69FA"/>
    <w:rsid w:val="007E1B86"/>
    <w:rsid w:val="007F00EE"/>
    <w:rsid w:val="0080622D"/>
    <w:rsid w:val="00825111"/>
    <w:rsid w:val="008322D9"/>
    <w:rsid w:val="00862475"/>
    <w:rsid w:val="008A1A1A"/>
    <w:rsid w:val="008B3BF0"/>
    <w:rsid w:val="008C1212"/>
    <w:rsid w:val="008D51EB"/>
    <w:rsid w:val="008E059D"/>
    <w:rsid w:val="008E3CEE"/>
    <w:rsid w:val="00916AF7"/>
    <w:rsid w:val="00924D48"/>
    <w:rsid w:val="00963095"/>
    <w:rsid w:val="00966384"/>
    <w:rsid w:val="0097498A"/>
    <w:rsid w:val="00991062"/>
    <w:rsid w:val="00A07FE3"/>
    <w:rsid w:val="00A1543D"/>
    <w:rsid w:val="00A418B6"/>
    <w:rsid w:val="00A435A7"/>
    <w:rsid w:val="00A56A32"/>
    <w:rsid w:val="00A9169A"/>
    <w:rsid w:val="00AA05D0"/>
    <w:rsid w:val="00AA2979"/>
    <w:rsid w:val="00AA34CA"/>
    <w:rsid w:val="00B10CFD"/>
    <w:rsid w:val="00B24227"/>
    <w:rsid w:val="00B33D96"/>
    <w:rsid w:val="00B53512"/>
    <w:rsid w:val="00B60547"/>
    <w:rsid w:val="00B86B3E"/>
    <w:rsid w:val="00BA5C05"/>
    <w:rsid w:val="00BB1191"/>
    <w:rsid w:val="00BB2ED1"/>
    <w:rsid w:val="00BD120C"/>
    <w:rsid w:val="00BD1FDC"/>
    <w:rsid w:val="00C159AC"/>
    <w:rsid w:val="00C536E2"/>
    <w:rsid w:val="00C60F4D"/>
    <w:rsid w:val="00C73800"/>
    <w:rsid w:val="00C85AE9"/>
    <w:rsid w:val="00C92A93"/>
    <w:rsid w:val="00CB4453"/>
    <w:rsid w:val="00CB6FB3"/>
    <w:rsid w:val="00CC2AB3"/>
    <w:rsid w:val="00CD19B8"/>
    <w:rsid w:val="00CD2928"/>
    <w:rsid w:val="00CD5EA8"/>
    <w:rsid w:val="00D06A75"/>
    <w:rsid w:val="00D11EA0"/>
    <w:rsid w:val="00D158C1"/>
    <w:rsid w:val="00D254C3"/>
    <w:rsid w:val="00D440B0"/>
    <w:rsid w:val="00D71805"/>
    <w:rsid w:val="00D71EB0"/>
    <w:rsid w:val="00DA5FC8"/>
    <w:rsid w:val="00DD0739"/>
    <w:rsid w:val="00E3574C"/>
    <w:rsid w:val="00E40FE3"/>
    <w:rsid w:val="00E507C9"/>
    <w:rsid w:val="00E8189B"/>
    <w:rsid w:val="00EA17D9"/>
    <w:rsid w:val="00EB15E8"/>
    <w:rsid w:val="00ED05CB"/>
    <w:rsid w:val="00F12552"/>
    <w:rsid w:val="00F52E62"/>
    <w:rsid w:val="00F67C75"/>
    <w:rsid w:val="00F93E0F"/>
    <w:rsid w:val="00FA27A7"/>
    <w:rsid w:val="00FF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F8C6"/>
  <w15:chartTrackingRefBased/>
  <w15:docId w15:val="{3B50D26D-1AB6-42DF-B0E9-32397F55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4FA"/>
    <w:pPr>
      <w:ind w:left="720"/>
      <w:contextualSpacing/>
    </w:pPr>
  </w:style>
  <w:style w:type="character" w:styleId="Hyperlink">
    <w:name w:val="Hyperlink"/>
    <w:basedOn w:val="DefaultParagraphFont"/>
    <w:uiPriority w:val="99"/>
    <w:unhideWhenUsed/>
    <w:rsid w:val="002534FA"/>
    <w:rPr>
      <w:color w:val="0563C1" w:themeColor="hyperlink"/>
      <w:u w:val="single"/>
    </w:rPr>
  </w:style>
  <w:style w:type="character" w:styleId="UnresolvedMention">
    <w:name w:val="Unresolved Mention"/>
    <w:basedOn w:val="DefaultParagraphFont"/>
    <w:uiPriority w:val="99"/>
    <w:semiHidden/>
    <w:unhideWhenUsed/>
    <w:rsid w:val="007C6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37/acr-20-82" TargetMode="External"/><Relationship Id="rId13" Type="http://schemas.openxmlformats.org/officeDocument/2006/relationships/hyperlink" Target="https://doi.org/10.1002/acr.24115" TargetMode="External"/><Relationship Id="rId18" Type="http://schemas.openxmlformats.org/officeDocument/2006/relationships/hyperlink" Target="https://doi.org/10.3390/jfmk6010015" TargetMode="External"/><Relationship Id="rId3" Type="http://schemas.openxmlformats.org/officeDocument/2006/relationships/settings" Target="settings.xml"/><Relationship Id="rId7" Type="http://schemas.openxmlformats.org/officeDocument/2006/relationships/hyperlink" Target="https://doi.org/10.1159/000493390" TargetMode="External"/><Relationship Id="rId12" Type="http://schemas.openxmlformats.org/officeDocument/2006/relationships/hyperlink" Target="https://doi.org/10.1002/art.41142" TargetMode="External"/><Relationship Id="rId17" Type="http://schemas.openxmlformats.org/officeDocument/2006/relationships/hyperlink" Target="https://doi.org/10.1056/NEJMcp1903768" TargetMode="External"/><Relationship Id="rId2" Type="http://schemas.openxmlformats.org/officeDocument/2006/relationships/styles" Target="styles.xml"/><Relationship Id="rId16" Type="http://schemas.openxmlformats.org/officeDocument/2006/relationships/hyperlink" Target="https://doi.org/10.2147/JPR.S1540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s40588-020-00152-6" TargetMode="External"/><Relationship Id="rId11" Type="http://schemas.openxmlformats.org/officeDocument/2006/relationships/hyperlink" Target="https://doi.org/10.7759/cureus.3840" TargetMode="External"/><Relationship Id="rId5" Type="http://schemas.openxmlformats.org/officeDocument/2006/relationships/hyperlink" Target="http://WWW.NCBI093" TargetMode="External"/><Relationship Id="rId15" Type="http://schemas.openxmlformats.org/officeDocument/2006/relationships/hyperlink" Target="https://doi.org/10.3390/cells9040880" TargetMode="External"/><Relationship Id="rId10" Type="http://schemas.openxmlformats.org/officeDocument/2006/relationships/hyperlink" Target="https://doi.org/10.1016/j.reumae.2016.07.0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7150/jbji.29983" TargetMode="External"/><Relationship Id="rId14" Type="http://schemas.openxmlformats.org/officeDocument/2006/relationships/hyperlink" Target="https://doi.org/10.5455/medarh.2019.69.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9</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2023-03-08T20:36:00Z</dcterms:created>
  <dcterms:modified xsi:type="dcterms:W3CDTF">2023-03-09T02:10:00Z</dcterms:modified>
</cp:coreProperties>
</file>