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F37920" w:rsidRPr="00F37920" w:rsidP="00F37920" w14:paraId="00A1D032" w14:textId="7DF56C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37920" w:rsidRPr="00F37920" w:rsidP="00F37920" w14:paraId="13C2A042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920" w:rsidRPr="00F37920" w:rsidP="00F37920" w14:paraId="61E040F9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920" w:rsidRPr="00F37920" w:rsidP="00F37920" w14:paraId="19B6F690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920" w:rsidRPr="00F37920" w:rsidP="00F37920" w14:paraId="6019D241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D87" w:rsidRPr="00F37920" w:rsidP="00F37920" w14:paraId="5D2F006C" w14:textId="30E5D15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920">
        <w:rPr>
          <w:rFonts w:ascii="Times New Roman" w:hAnsi="Times New Roman" w:cs="Times New Roman"/>
          <w:b/>
          <w:sz w:val="24"/>
          <w:szCs w:val="24"/>
        </w:rPr>
        <w:t xml:space="preserve">Week 2 Case Study- </w:t>
      </w:r>
      <w:r w:rsidRPr="00F37920" w:rsidR="002B6149">
        <w:rPr>
          <w:rFonts w:ascii="Times New Roman" w:hAnsi="Times New Roman" w:cs="Times New Roman"/>
          <w:b/>
          <w:sz w:val="24"/>
          <w:szCs w:val="24"/>
        </w:rPr>
        <w:t>Dyslipidaemia</w:t>
      </w:r>
    </w:p>
    <w:p w:rsidR="00A32D87" w:rsidRPr="00F37920" w:rsidP="00F37920" w14:paraId="6F301B9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920">
        <w:rPr>
          <w:rFonts w:ascii="Times New Roman" w:hAnsi="Times New Roman" w:cs="Times New Roman"/>
          <w:sz w:val="24"/>
          <w:szCs w:val="24"/>
        </w:rPr>
        <w:t>Student’s Name</w:t>
      </w:r>
    </w:p>
    <w:p w:rsidR="00A32D87" w:rsidRPr="00F37920" w:rsidP="00F37920" w14:paraId="239EEFA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920">
        <w:rPr>
          <w:rFonts w:ascii="Times New Roman" w:hAnsi="Times New Roman" w:cs="Times New Roman"/>
          <w:sz w:val="24"/>
          <w:szCs w:val="24"/>
        </w:rPr>
        <w:t>Institution</w:t>
      </w:r>
    </w:p>
    <w:p w:rsidR="00A32D87" w:rsidRPr="00F37920" w:rsidP="00F37920" w14:paraId="235BDED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920">
        <w:rPr>
          <w:rFonts w:ascii="Times New Roman" w:hAnsi="Times New Roman" w:cs="Times New Roman"/>
          <w:sz w:val="24"/>
          <w:szCs w:val="24"/>
        </w:rPr>
        <w:t>Course Title</w:t>
      </w:r>
    </w:p>
    <w:p w:rsidR="00A32D87" w:rsidRPr="00F37920" w:rsidP="00F37920" w14:paraId="168182E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920">
        <w:rPr>
          <w:rFonts w:ascii="Times New Roman" w:hAnsi="Times New Roman" w:cs="Times New Roman"/>
          <w:sz w:val="24"/>
          <w:szCs w:val="24"/>
        </w:rPr>
        <w:t>Professor’s Name</w:t>
      </w:r>
    </w:p>
    <w:p w:rsidR="00A32D87" w:rsidRPr="00F37920" w:rsidP="00F37920" w14:paraId="0188923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920">
        <w:rPr>
          <w:rFonts w:ascii="Times New Roman" w:hAnsi="Times New Roman" w:cs="Times New Roman"/>
          <w:sz w:val="24"/>
          <w:szCs w:val="24"/>
        </w:rPr>
        <w:t>Date</w:t>
      </w:r>
    </w:p>
    <w:p w:rsidR="00C062C5" w:rsidRPr="00F37920" w:rsidP="00F37920" w14:paraId="490F7BE3" w14:textId="7777777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3792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32D87" w:rsidRPr="00F37920" w:rsidP="00F37920" w14:paraId="644599ED" w14:textId="5F688D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920">
        <w:rPr>
          <w:rFonts w:ascii="Times New Roman" w:hAnsi="Times New Roman" w:cs="Times New Roman"/>
          <w:b/>
          <w:sz w:val="24"/>
          <w:szCs w:val="24"/>
        </w:rPr>
        <w:t>Week 2 Case Study- Dyslipidaemia</w:t>
      </w:r>
    </w:p>
    <w:p w:rsidR="00C74D57" w:rsidRPr="00F37920" w:rsidP="00F37920" w14:paraId="30229476" w14:textId="0DFB5D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7920">
        <w:rPr>
          <w:rFonts w:ascii="Times New Roman" w:hAnsi="Times New Roman" w:cs="Times New Roman"/>
          <w:sz w:val="24"/>
          <w:szCs w:val="24"/>
        </w:rPr>
        <w:t>Based on the ACC</w:t>
      </w:r>
      <w:r w:rsidRPr="00F37920" w:rsidR="00394027">
        <w:rPr>
          <w:rFonts w:ascii="Times New Roman" w:hAnsi="Times New Roman" w:cs="Times New Roman"/>
          <w:sz w:val="24"/>
          <w:szCs w:val="24"/>
        </w:rPr>
        <w:t xml:space="preserve">/AHA (2019) guidelines, </w:t>
      </w:r>
      <w:r w:rsidRPr="00F37920" w:rsidR="00303D33">
        <w:rPr>
          <w:rFonts w:ascii="Times New Roman" w:hAnsi="Times New Roman" w:cs="Times New Roman"/>
          <w:sz w:val="24"/>
          <w:szCs w:val="24"/>
        </w:rPr>
        <w:t xml:space="preserve">adults can be categorized into four statin risk categories. </w:t>
      </w:r>
      <w:r w:rsidRPr="00F37920" w:rsidR="003D48B5">
        <w:rPr>
          <w:rFonts w:ascii="Times New Roman" w:hAnsi="Times New Roman" w:cs="Times New Roman"/>
          <w:sz w:val="24"/>
          <w:szCs w:val="24"/>
        </w:rPr>
        <w:t xml:space="preserve">The main objective of the guideline is to reduce the risk of </w:t>
      </w:r>
      <w:r w:rsidRPr="00F37920" w:rsidR="003B2ABA">
        <w:rPr>
          <w:rFonts w:ascii="Times New Roman" w:hAnsi="Times New Roman" w:cs="Times New Roman"/>
          <w:sz w:val="24"/>
          <w:szCs w:val="24"/>
        </w:rPr>
        <w:t xml:space="preserve">ASVD (peripheral arterial disease, </w:t>
      </w:r>
      <w:r w:rsidRPr="00F37920" w:rsidR="00465782">
        <w:rPr>
          <w:rFonts w:ascii="Times New Roman" w:hAnsi="Times New Roman" w:cs="Times New Roman"/>
          <w:sz w:val="24"/>
          <w:szCs w:val="24"/>
        </w:rPr>
        <w:t xml:space="preserve">stroke/transient ischemic attack, </w:t>
      </w:r>
      <w:r w:rsidRPr="00F37920" w:rsidR="00C84833">
        <w:rPr>
          <w:rFonts w:ascii="Times New Roman" w:hAnsi="Times New Roman" w:cs="Times New Roman"/>
          <w:sz w:val="24"/>
          <w:szCs w:val="24"/>
        </w:rPr>
        <w:t xml:space="preserve">peripheral arterial disease, acute coronary syndromes, and myocardial </w:t>
      </w:r>
      <w:r w:rsidRPr="00F37920" w:rsidR="009D16A1">
        <w:rPr>
          <w:rFonts w:ascii="Times New Roman" w:hAnsi="Times New Roman" w:cs="Times New Roman"/>
          <w:sz w:val="24"/>
          <w:szCs w:val="24"/>
        </w:rPr>
        <w:t>infarction) in adults. The guidelines propose that race and sex be utilized to estimate the ASCVD risk for asymptomatic patients aged 40-79 years</w:t>
      </w:r>
      <w:r w:rsidRPr="00F37920" w:rsidR="00BC65F2">
        <w:rPr>
          <w:rFonts w:ascii="Times New Roman" w:hAnsi="Times New Roman" w:cs="Times New Roman"/>
          <w:sz w:val="24"/>
          <w:szCs w:val="24"/>
        </w:rPr>
        <w:t xml:space="preserve"> using the ASCVD risk estimator plus tool</w:t>
      </w:r>
      <w:r w:rsidRPr="00F37920" w:rsidR="009D16A1">
        <w:rPr>
          <w:rFonts w:ascii="Times New Roman" w:hAnsi="Times New Roman" w:cs="Times New Roman"/>
          <w:sz w:val="24"/>
          <w:szCs w:val="24"/>
        </w:rPr>
        <w:t xml:space="preserve">. These </w:t>
      </w:r>
      <w:r w:rsidRPr="00F37920" w:rsidR="00B56C61">
        <w:rPr>
          <w:rFonts w:ascii="Times New Roman" w:hAnsi="Times New Roman" w:cs="Times New Roman"/>
          <w:sz w:val="24"/>
          <w:szCs w:val="24"/>
        </w:rPr>
        <w:t>risk categories can be classified as the low-risk category, which has less than 5% risk, and the borderline risk category, which falls between 5% to 7.5% risk. The Intermediate category falls between 7.5% to 20%, and the</w:t>
      </w:r>
      <w:r w:rsidRPr="00F37920" w:rsidR="00C9464B">
        <w:rPr>
          <w:rFonts w:ascii="Times New Roman" w:hAnsi="Times New Roman" w:cs="Times New Roman"/>
          <w:sz w:val="24"/>
          <w:szCs w:val="24"/>
        </w:rPr>
        <w:t xml:space="preserve"> high-risk </w:t>
      </w:r>
      <w:r w:rsidRPr="00F37920" w:rsidR="00B56C61">
        <w:rPr>
          <w:rFonts w:ascii="Times New Roman" w:hAnsi="Times New Roman" w:cs="Times New Roman"/>
          <w:sz w:val="24"/>
          <w:szCs w:val="24"/>
        </w:rPr>
        <w:t>category with more than 20% ASCVD 10-year ris</w:t>
      </w:r>
      <w:r w:rsidRPr="00F37920" w:rsidR="0061597A">
        <w:rPr>
          <w:rFonts w:ascii="Times New Roman" w:hAnsi="Times New Roman" w:cs="Times New Roman"/>
          <w:sz w:val="24"/>
          <w:szCs w:val="24"/>
        </w:rPr>
        <w:t>k</w:t>
      </w:r>
      <w:r w:rsidRPr="00F37920" w:rsidR="001E285E">
        <w:rPr>
          <w:rFonts w:ascii="Times New Roman" w:hAnsi="Times New Roman" w:cs="Times New Roman"/>
          <w:sz w:val="24"/>
          <w:szCs w:val="24"/>
        </w:rPr>
        <w:t xml:space="preserve"> </w:t>
      </w:r>
      <w:r w:rsidRPr="00F37920" w:rsidR="008B1065">
        <w:rPr>
          <w:rFonts w:ascii="Times New Roman" w:hAnsi="Times New Roman" w:cs="Times New Roman"/>
          <w:sz w:val="24"/>
          <w:szCs w:val="24"/>
        </w:rPr>
        <w:t>(ACC</w:t>
      </w:r>
      <w:r w:rsidRPr="00F37920" w:rsidR="001E285E">
        <w:rPr>
          <w:rFonts w:ascii="Times New Roman" w:hAnsi="Times New Roman" w:cs="Times New Roman"/>
          <w:sz w:val="24"/>
          <w:szCs w:val="24"/>
        </w:rPr>
        <w:t>/AHA, 2019)</w:t>
      </w:r>
      <w:r w:rsidRPr="00F37920" w:rsidR="0061597A">
        <w:rPr>
          <w:rFonts w:ascii="Times New Roman" w:hAnsi="Times New Roman" w:cs="Times New Roman"/>
          <w:sz w:val="24"/>
          <w:szCs w:val="24"/>
        </w:rPr>
        <w:t xml:space="preserve">. </w:t>
      </w:r>
      <w:r w:rsidRPr="00F37920" w:rsidR="00A70819">
        <w:rPr>
          <w:rFonts w:ascii="Times New Roman" w:hAnsi="Times New Roman" w:cs="Times New Roman"/>
          <w:sz w:val="24"/>
          <w:szCs w:val="24"/>
        </w:rPr>
        <w:t>Among the borderline and intermediate-risk factors</w:t>
      </w:r>
      <w:r w:rsidRPr="00F37920" w:rsidR="00607F46">
        <w:rPr>
          <w:rFonts w:ascii="Times New Roman" w:hAnsi="Times New Roman" w:cs="Times New Roman"/>
          <w:sz w:val="24"/>
          <w:szCs w:val="24"/>
        </w:rPr>
        <w:t xml:space="preserve">, the guideline recommends the consideration of additional </w:t>
      </w:r>
      <w:r w:rsidRPr="00F37920" w:rsidR="001A7859">
        <w:rPr>
          <w:rFonts w:ascii="Times New Roman" w:hAnsi="Times New Roman" w:cs="Times New Roman"/>
          <w:sz w:val="24"/>
          <w:szCs w:val="24"/>
        </w:rPr>
        <w:t xml:space="preserve">risk-enhancing clinical factors before enhancing statin therapy. This should include a family history of early ASCVD, where in men it should be less than 55 years while in women it should be less than </w:t>
      </w:r>
      <w:r w:rsidRPr="00F37920" w:rsidR="00013CFB">
        <w:rPr>
          <w:rFonts w:ascii="Times New Roman" w:hAnsi="Times New Roman" w:cs="Times New Roman"/>
          <w:sz w:val="24"/>
          <w:szCs w:val="24"/>
        </w:rPr>
        <w:t xml:space="preserve">65 years, low-density lipoprotein cholesterol (LDL-C) of greater than 160 mg/dl, and total cholesterol </w:t>
      </w:r>
      <w:r w:rsidRPr="00F37920" w:rsidR="00DA5EB8">
        <w:rPr>
          <w:rFonts w:ascii="Times New Roman" w:hAnsi="Times New Roman" w:cs="Times New Roman"/>
          <w:sz w:val="24"/>
          <w:szCs w:val="24"/>
        </w:rPr>
        <w:t xml:space="preserve">higher than 190 mg/dl. The following details are entered on the ASCVD risk estimator plus accessed through the link: </w:t>
      </w:r>
      <w:hyperlink r:id="rId4" w:history="1">
        <w:r w:rsidRPr="00F37920" w:rsidR="00DA5EB8">
          <w:rPr>
            <w:rStyle w:val="Hyperlink"/>
            <w:rFonts w:ascii="Times New Roman" w:hAnsi="Times New Roman" w:cs="Times New Roman"/>
            <w:sz w:val="24"/>
            <w:szCs w:val="24"/>
          </w:rPr>
          <w:t>https://tools.acc.org/ascvd-risk-estimator-plus/#!/calculate/estimate/</w:t>
        </w:r>
      </w:hyperlink>
      <w:r w:rsidRPr="00F37920" w:rsidR="00DA5EB8">
        <w:rPr>
          <w:rFonts w:ascii="Times New Roman" w:hAnsi="Times New Roman" w:cs="Times New Roman"/>
          <w:sz w:val="24"/>
          <w:szCs w:val="24"/>
        </w:rPr>
        <w:t xml:space="preserve"> to determine the risk category Jeremy falls under. The details include male sex, 55 years of age, race: white, Total cholesterol: 237, HDL: cholesterol, Systolic blood pressure: 134, diabetes status: present, and has never smoked. </w:t>
      </w:r>
      <w:r w:rsidRPr="00F37920" w:rsidR="001D13AA">
        <w:rPr>
          <w:rFonts w:ascii="Times New Roman" w:hAnsi="Times New Roman" w:cs="Times New Roman"/>
          <w:sz w:val="24"/>
          <w:szCs w:val="24"/>
        </w:rPr>
        <w:t xml:space="preserve">Also, he has a family history of premature ASCVD. Ishis father passed at the age </w:t>
      </w:r>
      <w:r w:rsidRPr="00F37920" w:rsidR="00D757E4">
        <w:rPr>
          <w:rFonts w:ascii="Times New Roman" w:hAnsi="Times New Roman" w:cs="Times New Roman"/>
          <w:sz w:val="24"/>
          <w:szCs w:val="24"/>
        </w:rPr>
        <w:t xml:space="preserve">of 55 years. </w:t>
      </w:r>
      <w:r w:rsidRPr="00F37920" w:rsidR="00600869">
        <w:rPr>
          <w:rFonts w:ascii="Times New Roman" w:hAnsi="Times New Roman" w:cs="Times New Roman"/>
          <w:sz w:val="24"/>
          <w:szCs w:val="24"/>
        </w:rPr>
        <w:t xml:space="preserve">The output reveals that Jeremy’s ASCVD risk category is between 7.5% to </w:t>
      </w:r>
      <w:r w:rsidRPr="00F37920" w:rsidR="00B31B6D">
        <w:rPr>
          <w:rFonts w:ascii="Times New Roman" w:hAnsi="Times New Roman" w:cs="Times New Roman"/>
          <w:sz w:val="24"/>
          <w:szCs w:val="24"/>
        </w:rPr>
        <w:t xml:space="preserve">less than 20%, which is the intermediate risk category. </w:t>
      </w:r>
    </w:p>
    <w:p w:rsidR="002B6149" w:rsidRPr="00F37920" w:rsidP="00F37920" w14:paraId="39A62FDC" w14:textId="4D1082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7920">
        <w:rPr>
          <w:rFonts w:ascii="Times New Roman" w:hAnsi="Times New Roman" w:cs="Times New Roman"/>
          <w:sz w:val="24"/>
          <w:szCs w:val="24"/>
        </w:rPr>
        <w:t>According to A</w:t>
      </w:r>
      <w:r w:rsidRPr="00F37920" w:rsidR="009C22C8">
        <w:rPr>
          <w:rFonts w:ascii="Times New Roman" w:hAnsi="Times New Roman" w:cs="Times New Roman"/>
          <w:sz w:val="24"/>
          <w:szCs w:val="24"/>
        </w:rPr>
        <w:t>rnett et al. (2019), the first-line treatment for primary preven</w:t>
      </w:r>
      <w:r w:rsidRPr="00F37920" w:rsidR="00416826">
        <w:rPr>
          <w:rFonts w:ascii="Times New Roman" w:hAnsi="Times New Roman" w:cs="Times New Roman"/>
          <w:sz w:val="24"/>
          <w:szCs w:val="24"/>
        </w:rPr>
        <w:t>tion of ASCVD in patients with l</w:t>
      </w:r>
      <w:r w:rsidRPr="00F37920" w:rsidR="009C22C8">
        <w:rPr>
          <w:rFonts w:ascii="Times New Roman" w:hAnsi="Times New Roman" w:cs="Times New Roman"/>
          <w:sz w:val="24"/>
          <w:szCs w:val="24"/>
        </w:rPr>
        <w:t xml:space="preserve">ow-density lipoprotein cholesterol levels (equal or greater than 190mg/dL), those with diabetes mellitus and </w:t>
      </w:r>
      <w:r w:rsidRPr="00F37920" w:rsidR="00416826">
        <w:rPr>
          <w:rFonts w:ascii="Times New Roman" w:hAnsi="Times New Roman" w:cs="Times New Roman"/>
          <w:sz w:val="24"/>
          <w:szCs w:val="24"/>
        </w:rPr>
        <w:t xml:space="preserve">their age </w:t>
      </w:r>
      <w:r w:rsidRPr="00F37920" w:rsidR="009C22C8">
        <w:rPr>
          <w:rFonts w:ascii="Times New Roman" w:hAnsi="Times New Roman" w:cs="Times New Roman"/>
          <w:sz w:val="24"/>
          <w:szCs w:val="24"/>
        </w:rPr>
        <w:t xml:space="preserve">fall under </w:t>
      </w:r>
      <w:r w:rsidRPr="00F37920" w:rsidR="001233C1">
        <w:rPr>
          <w:rFonts w:ascii="Times New Roman" w:hAnsi="Times New Roman" w:cs="Times New Roman"/>
          <w:sz w:val="24"/>
          <w:szCs w:val="24"/>
        </w:rPr>
        <w:t xml:space="preserve">40 to 75 years age bracket should be </w:t>
      </w:r>
      <w:r w:rsidRPr="00F37920" w:rsidR="001233C1">
        <w:rPr>
          <w:rFonts w:ascii="Times New Roman" w:hAnsi="Times New Roman" w:cs="Times New Roman"/>
          <w:sz w:val="24"/>
          <w:szCs w:val="24"/>
        </w:rPr>
        <w:t xml:space="preserve">statin therapy. </w:t>
      </w:r>
      <w:r w:rsidRPr="00F37920" w:rsidR="00865056">
        <w:rPr>
          <w:rFonts w:ascii="Times New Roman" w:hAnsi="Times New Roman" w:cs="Times New Roman"/>
          <w:sz w:val="24"/>
          <w:szCs w:val="24"/>
        </w:rPr>
        <w:t>Furthermore, Kaiser Permane</w:t>
      </w:r>
      <w:r w:rsidRPr="00F37920" w:rsidR="00B513DA">
        <w:rPr>
          <w:rFonts w:ascii="Times New Roman" w:hAnsi="Times New Roman" w:cs="Times New Roman"/>
          <w:sz w:val="24"/>
          <w:szCs w:val="24"/>
        </w:rPr>
        <w:t>n</w:t>
      </w:r>
      <w:r w:rsidRPr="00F37920" w:rsidR="00865056">
        <w:rPr>
          <w:rFonts w:ascii="Times New Roman" w:hAnsi="Times New Roman" w:cs="Times New Roman"/>
          <w:sz w:val="24"/>
          <w:szCs w:val="24"/>
        </w:rPr>
        <w:t>te (2020)</w:t>
      </w:r>
      <w:r w:rsidRPr="00F37920" w:rsidR="00D403CF">
        <w:rPr>
          <w:rFonts w:ascii="Times New Roman" w:hAnsi="Times New Roman" w:cs="Times New Roman"/>
          <w:sz w:val="24"/>
          <w:szCs w:val="24"/>
        </w:rPr>
        <w:t xml:space="preserve"> recommends moderate-to-high intensity statin therapy for people under the 7.5-14.9% SCVD category over ten years. </w:t>
      </w:r>
      <w:r w:rsidRPr="00F37920" w:rsidR="009571B9">
        <w:rPr>
          <w:rFonts w:ascii="Times New Roman" w:hAnsi="Times New Roman" w:cs="Times New Roman"/>
          <w:sz w:val="24"/>
          <w:szCs w:val="24"/>
        </w:rPr>
        <w:t>A high-intensity statin could be achieved through a daily 40-80 mg dosage of atorvastatin. According to Agrawal et al. (2018)</w:t>
      </w:r>
      <w:r w:rsidRPr="00F37920" w:rsidR="00830C45">
        <w:rPr>
          <w:rFonts w:ascii="Times New Roman" w:hAnsi="Times New Roman" w:cs="Times New Roman"/>
          <w:sz w:val="24"/>
          <w:szCs w:val="24"/>
        </w:rPr>
        <w:t xml:space="preserve">, </w:t>
      </w:r>
      <w:r w:rsidRPr="00F37920" w:rsidR="00537F5D">
        <w:rPr>
          <w:rFonts w:ascii="Times New Roman" w:hAnsi="Times New Roman" w:cs="Times New Roman"/>
          <w:sz w:val="24"/>
          <w:szCs w:val="24"/>
        </w:rPr>
        <w:t xml:space="preserve">high-intensity statin can lower </w:t>
      </w:r>
      <w:r w:rsidRPr="00F37920" w:rsidR="00B45A2E">
        <w:rPr>
          <w:rFonts w:ascii="Times New Roman" w:hAnsi="Times New Roman" w:cs="Times New Roman"/>
          <w:sz w:val="24"/>
          <w:szCs w:val="24"/>
        </w:rPr>
        <w:t xml:space="preserve">the risk of a cardiovascular event by 50% or more in patients with an elevated ACSVD risk and cholesterol. </w:t>
      </w:r>
      <w:r w:rsidRPr="00F37920" w:rsidR="002B0ACA">
        <w:rPr>
          <w:rFonts w:ascii="Times New Roman" w:hAnsi="Times New Roman" w:cs="Times New Roman"/>
          <w:sz w:val="24"/>
          <w:szCs w:val="24"/>
        </w:rPr>
        <w:t>Additionally, atorvastatin is preferred because it has a low risk of adverse events and is available in a single daily regimen, improving medication compliance. Howe</w:t>
      </w:r>
      <w:r w:rsidRPr="00F37920" w:rsidR="00373EA0">
        <w:rPr>
          <w:rFonts w:ascii="Times New Roman" w:hAnsi="Times New Roman" w:cs="Times New Roman"/>
          <w:sz w:val="24"/>
          <w:szCs w:val="24"/>
        </w:rPr>
        <w:t xml:space="preserve">ver, Agrawal et al. (2018) </w:t>
      </w:r>
      <w:r w:rsidRPr="00F37920" w:rsidR="008B1AA6">
        <w:rPr>
          <w:rFonts w:ascii="Times New Roman" w:hAnsi="Times New Roman" w:cs="Times New Roman"/>
          <w:sz w:val="24"/>
          <w:szCs w:val="24"/>
        </w:rPr>
        <w:t>highlight</w:t>
      </w:r>
      <w:r w:rsidRPr="00F37920" w:rsidR="00373EA0">
        <w:rPr>
          <w:rFonts w:ascii="Times New Roman" w:hAnsi="Times New Roman" w:cs="Times New Roman"/>
          <w:sz w:val="24"/>
          <w:szCs w:val="24"/>
        </w:rPr>
        <w:t xml:space="preserve"> that when atorvastatin is taken in high dosage, it can potentially cause adverse effects like the </w:t>
      </w:r>
      <w:r w:rsidRPr="00F37920" w:rsidR="008B1AA6">
        <w:rPr>
          <w:rFonts w:ascii="Times New Roman" w:hAnsi="Times New Roman" w:cs="Times New Roman"/>
          <w:sz w:val="24"/>
          <w:szCs w:val="24"/>
        </w:rPr>
        <w:t>onset of diabetes mellitus, elevation of liver enzyme, and myopathy</w:t>
      </w:r>
      <w:r w:rsidRPr="00F37920" w:rsidR="00A637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CD2" w:rsidRPr="00F37920" w:rsidP="00F37920" w14:paraId="0D73E21B" w14:textId="7613D0D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7920">
        <w:rPr>
          <w:rFonts w:ascii="Times New Roman" w:hAnsi="Times New Roman" w:cs="Times New Roman"/>
          <w:sz w:val="24"/>
          <w:szCs w:val="24"/>
        </w:rPr>
        <w:t xml:space="preserve">According to the guidelines provided by ACC/AHA 2018, adherence and response to the LDL-C medications, in this case, </w:t>
      </w:r>
      <w:r w:rsidRPr="00F37920">
        <w:rPr>
          <w:rFonts w:ascii="Times New Roman" w:hAnsi="Times New Roman" w:cs="Times New Roman"/>
          <w:sz w:val="24"/>
          <w:szCs w:val="24"/>
        </w:rPr>
        <w:t>atorvastatin</w:t>
      </w:r>
      <w:r w:rsidRPr="00F37920">
        <w:rPr>
          <w:rFonts w:ascii="Times New Roman" w:hAnsi="Times New Roman" w:cs="Times New Roman"/>
          <w:sz w:val="24"/>
          <w:szCs w:val="24"/>
        </w:rPr>
        <w:t xml:space="preserve">, should be assessed every </w:t>
      </w:r>
      <w:r w:rsidRPr="00F37920" w:rsidR="0023538B">
        <w:rPr>
          <w:rFonts w:ascii="Times New Roman" w:hAnsi="Times New Roman" w:cs="Times New Roman"/>
          <w:sz w:val="24"/>
          <w:szCs w:val="24"/>
        </w:rPr>
        <w:t xml:space="preserve">4 to 12 weeks. </w:t>
      </w:r>
      <w:r w:rsidRPr="00F37920" w:rsidR="00FD58D6">
        <w:rPr>
          <w:rFonts w:ascii="Times New Roman" w:hAnsi="Times New Roman" w:cs="Times New Roman"/>
          <w:sz w:val="24"/>
          <w:szCs w:val="24"/>
        </w:rPr>
        <w:t xml:space="preserve">The LDL cholesterol level reduction should be observed from 162 mg/dl and an LDL reduction of approximately 50%. </w:t>
      </w:r>
      <w:r w:rsidRPr="00F37920" w:rsidR="005A68DD">
        <w:rPr>
          <w:rFonts w:ascii="Times New Roman" w:hAnsi="Times New Roman" w:cs="Times New Roman"/>
          <w:sz w:val="24"/>
          <w:szCs w:val="24"/>
        </w:rPr>
        <w:t xml:space="preserve">If the target LDL levels are not achieved, then the dosage would need to be improved. Alternatively, an additional lipid-lowering medication can be prescribed. However, Jeremy must monitor for potential adverse reactions due to the high dosage of </w:t>
      </w:r>
      <w:r w:rsidRPr="00F37920" w:rsidR="005A68DD">
        <w:rPr>
          <w:rFonts w:ascii="Times New Roman" w:hAnsi="Times New Roman" w:cs="Times New Roman"/>
          <w:sz w:val="24"/>
          <w:szCs w:val="24"/>
        </w:rPr>
        <w:t>atorvastatin</w:t>
      </w:r>
      <w:r w:rsidRPr="00F37920" w:rsidR="00DD74E9">
        <w:rPr>
          <w:rFonts w:ascii="Times New Roman" w:hAnsi="Times New Roman" w:cs="Times New Roman"/>
          <w:sz w:val="24"/>
          <w:szCs w:val="24"/>
        </w:rPr>
        <w:t xml:space="preserve"> (Grundy et al., 2018)</w:t>
      </w:r>
      <w:r w:rsidRPr="00F37920" w:rsidR="005A68DD">
        <w:rPr>
          <w:rFonts w:ascii="Times New Roman" w:hAnsi="Times New Roman" w:cs="Times New Roman"/>
          <w:sz w:val="24"/>
          <w:szCs w:val="24"/>
        </w:rPr>
        <w:t xml:space="preserve">. Also, Jeremy's lifestyle changes will need to be monitored occasionally. </w:t>
      </w:r>
      <w:r w:rsidRPr="00F37920" w:rsidR="00D527EF">
        <w:rPr>
          <w:rFonts w:ascii="Times New Roman" w:hAnsi="Times New Roman" w:cs="Times New Roman"/>
          <w:sz w:val="24"/>
          <w:szCs w:val="24"/>
        </w:rPr>
        <w:t xml:space="preserve">He needs to change his diet from a fast to a nutritious one. </w:t>
      </w:r>
    </w:p>
    <w:p w:rsidR="003631D1" w:rsidRPr="00F37920" w:rsidP="00F37920" w14:paraId="7140CC62" w14:textId="09245F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7920">
        <w:rPr>
          <w:rFonts w:ascii="Times New Roman" w:hAnsi="Times New Roman" w:cs="Times New Roman"/>
          <w:sz w:val="24"/>
          <w:szCs w:val="24"/>
        </w:rPr>
        <w:t xml:space="preserve">The two </w:t>
      </w:r>
      <w:r w:rsidRPr="00F37920" w:rsidR="00C46EA2">
        <w:rPr>
          <w:rFonts w:ascii="Times New Roman" w:hAnsi="Times New Roman" w:cs="Times New Roman"/>
          <w:sz w:val="24"/>
          <w:szCs w:val="24"/>
        </w:rPr>
        <w:t xml:space="preserve">adverse reactions of atorvastatin </w:t>
      </w:r>
      <w:r w:rsidRPr="00F37920" w:rsidR="00AB45F5">
        <w:rPr>
          <w:rFonts w:ascii="Times New Roman" w:hAnsi="Times New Roman" w:cs="Times New Roman"/>
          <w:sz w:val="24"/>
          <w:szCs w:val="24"/>
        </w:rPr>
        <w:t xml:space="preserve">therapy </w:t>
      </w:r>
      <w:r w:rsidRPr="00F37920" w:rsidR="00D6677C">
        <w:rPr>
          <w:rFonts w:ascii="Times New Roman" w:hAnsi="Times New Roman" w:cs="Times New Roman"/>
          <w:sz w:val="24"/>
          <w:szCs w:val="24"/>
        </w:rPr>
        <w:t>that may ca</w:t>
      </w:r>
      <w:r w:rsidRPr="00F37920" w:rsidR="003F3DD8">
        <w:rPr>
          <w:rFonts w:ascii="Times New Roman" w:hAnsi="Times New Roman" w:cs="Times New Roman"/>
          <w:sz w:val="24"/>
          <w:szCs w:val="24"/>
        </w:rPr>
        <w:t xml:space="preserve">use a change in therapy are myopathy and liver toxicity. </w:t>
      </w:r>
      <w:r w:rsidRPr="00F37920" w:rsidR="00A70051">
        <w:rPr>
          <w:rFonts w:ascii="Times New Roman" w:hAnsi="Times New Roman" w:cs="Times New Roman"/>
          <w:sz w:val="24"/>
          <w:szCs w:val="24"/>
        </w:rPr>
        <w:t>Vinci et al.</w:t>
      </w:r>
      <w:r w:rsidRPr="00F37920" w:rsidR="00133FA7">
        <w:rPr>
          <w:rFonts w:ascii="Times New Roman" w:hAnsi="Times New Roman" w:cs="Times New Roman"/>
          <w:sz w:val="24"/>
          <w:szCs w:val="24"/>
        </w:rPr>
        <w:t xml:space="preserve"> (2022) define </w:t>
      </w:r>
      <w:r w:rsidRPr="00F37920" w:rsidR="007F347F">
        <w:rPr>
          <w:rFonts w:ascii="Times New Roman" w:hAnsi="Times New Roman" w:cs="Times New Roman"/>
          <w:sz w:val="24"/>
          <w:szCs w:val="24"/>
        </w:rPr>
        <w:t xml:space="preserve">myopathy as a muscle disorder </w:t>
      </w:r>
      <w:r w:rsidRPr="00F37920" w:rsidR="00A70051">
        <w:rPr>
          <w:rFonts w:ascii="Times New Roman" w:hAnsi="Times New Roman" w:cs="Times New Roman"/>
          <w:sz w:val="24"/>
          <w:szCs w:val="24"/>
        </w:rPr>
        <w:t>associated with increased fatigue, muscle pain, and weakness</w:t>
      </w:r>
      <w:r w:rsidRPr="00F37920" w:rsidR="00872E93">
        <w:rPr>
          <w:rFonts w:ascii="Times New Roman" w:hAnsi="Times New Roman" w:cs="Times New Roman"/>
          <w:sz w:val="24"/>
          <w:szCs w:val="24"/>
        </w:rPr>
        <w:t xml:space="preserve">. </w:t>
      </w:r>
      <w:r w:rsidRPr="00F37920" w:rsidR="00F96609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F37920" w:rsidR="00706B49">
        <w:rPr>
          <w:rFonts w:ascii="Times New Roman" w:hAnsi="Times New Roman" w:cs="Times New Roman"/>
          <w:sz w:val="24"/>
          <w:szCs w:val="24"/>
        </w:rPr>
        <w:t>severe myopathy may lead to rhabdomyolysis, a severe condition that occurs</w:t>
      </w:r>
      <w:r w:rsidRPr="00F37920" w:rsidR="00FF5DF0">
        <w:rPr>
          <w:rFonts w:ascii="Times New Roman" w:hAnsi="Times New Roman" w:cs="Times New Roman"/>
          <w:sz w:val="24"/>
          <w:szCs w:val="24"/>
        </w:rPr>
        <w:t xml:space="preserve"> when the damaged muscle fibers release their contents into the bloodstream. This may ultimately lead to kidney failure or damage. On the other hand, liver toxicity is a rare</w:t>
      </w:r>
      <w:r w:rsidRPr="00F37920" w:rsidR="00171341">
        <w:rPr>
          <w:rFonts w:ascii="Times New Roman" w:hAnsi="Times New Roman" w:cs="Times New Roman"/>
          <w:sz w:val="24"/>
          <w:szCs w:val="24"/>
        </w:rPr>
        <w:t xml:space="preserve"> but </w:t>
      </w:r>
      <w:r w:rsidRPr="00F37920" w:rsidR="00171341">
        <w:rPr>
          <w:rFonts w:ascii="Times New Roman" w:hAnsi="Times New Roman" w:cs="Times New Roman"/>
          <w:sz w:val="24"/>
          <w:szCs w:val="24"/>
        </w:rPr>
        <w:t xml:space="preserve">severe condition caused by increased liver enzymes, which indicates liver damage. </w:t>
      </w:r>
      <w:r w:rsidRPr="00F37920" w:rsidR="001E7E32">
        <w:rPr>
          <w:rFonts w:ascii="Times New Roman" w:hAnsi="Times New Roman" w:cs="Times New Roman"/>
          <w:sz w:val="24"/>
          <w:szCs w:val="24"/>
        </w:rPr>
        <w:t xml:space="preserve">If Jeremy </w:t>
      </w:r>
      <w:r w:rsidRPr="00F37920" w:rsidR="002A560A">
        <w:rPr>
          <w:rFonts w:ascii="Times New Roman" w:hAnsi="Times New Roman" w:cs="Times New Roman"/>
          <w:sz w:val="24"/>
          <w:szCs w:val="24"/>
        </w:rPr>
        <w:t>experiences myopathy or liver toxicity, statin therapy will be stopped immediately, and a different lipid-lowering medication that does not cause myopathy will be prescribed</w:t>
      </w:r>
      <w:r w:rsidRPr="00F37920" w:rsidR="00D63C6B">
        <w:rPr>
          <w:rFonts w:ascii="Times New Roman" w:hAnsi="Times New Roman" w:cs="Times New Roman"/>
          <w:sz w:val="24"/>
          <w:szCs w:val="24"/>
        </w:rPr>
        <w:t>.</w:t>
      </w:r>
      <w:r w:rsidRPr="00F37920" w:rsidR="00706B49">
        <w:rPr>
          <w:rFonts w:ascii="Times New Roman" w:hAnsi="Times New Roman" w:cs="Times New Roman"/>
          <w:sz w:val="24"/>
          <w:szCs w:val="24"/>
        </w:rPr>
        <w:t xml:space="preserve"> </w:t>
      </w:r>
      <w:r w:rsidRPr="00F37920" w:rsidR="00A72E24">
        <w:rPr>
          <w:rFonts w:ascii="Times New Roman" w:hAnsi="Times New Roman" w:cs="Times New Roman"/>
          <w:sz w:val="24"/>
          <w:szCs w:val="24"/>
        </w:rPr>
        <w:t>Examp</w:t>
      </w:r>
      <w:r w:rsidRPr="00F37920" w:rsidR="00115DA9">
        <w:rPr>
          <w:rFonts w:ascii="Times New Roman" w:hAnsi="Times New Roman" w:cs="Times New Roman"/>
          <w:sz w:val="24"/>
          <w:szCs w:val="24"/>
        </w:rPr>
        <w:t xml:space="preserve">les of such medications include </w:t>
      </w:r>
      <w:r w:rsidRPr="00F37920" w:rsidR="00FE30F0">
        <w:rPr>
          <w:rFonts w:ascii="Times New Roman" w:hAnsi="Times New Roman" w:cs="Times New Roman"/>
          <w:sz w:val="24"/>
          <w:szCs w:val="24"/>
        </w:rPr>
        <w:t xml:space="preserve">ezetimibe or bile acid </w:t>
      </w:r>
      <w:r w:rsidRPr="00F37920" w:rsidR="00F93918">
        <w:rPr>
          <w:rFonts w:ascii="Times New Roman" w:hAnsi="Times New Roman" w:cs="Times New Roman"/>
          <w:sz w:val="24"/>
          <w:szCs w:val="24"/>
        </w:rPr>
        <w:t>sequestrates (</w:t>
      </w:r>
      <w:r w:rsidRPr="00F37920" w:rsidR="0083418D">
        <w:rPr>
          <w:rFonts w:ascii="Times New Roman" w:hAnsi="Times New Roman" w:cs="Times New Roman"/>
          <w:sz w:val="24"/>
          <w:szCs w:val="24"/>
        </w:rPr>
        <w:t xml:space="preserve">Bardolia et al., </w:t>
      </w:r>
      <w:r w:rsidRPr="00F37920" w:rsidR="00B05D6A">
        <w:rPr>
          <w:rFonts w:ascii="Times New Roman" w:hAnsi="Times New Roman" w:cs="Times New Roman"/>
          <w:sz w:val="24"/>
          <w:szCs w:val="24"/>
        </w:rPr>
        <w:t>2021)</w:t>
      </w:r>
      <w:r w:rsidRPr="00F37920" w:rsidR="00F93918">
        <w:rPr>
          <w:rFonts w:ascii="Times New Roman" w:hAnsi="Times New Roman" w:cs="Times New Roman"/>
          <w:sz w:val="24"/>
          <w:szCs w:val="24"/>
        </w:rPr>
        <w:t xml:space="preserve">. </w:t>
      </w:r>
      <w:r w:rsidRPr="00F37920" w:rsidR="00FE30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4E45" w:rsidRPr="00F37920" w:rsidP="00F37920" w14:paraId="536EC905" w14:textId="42CB9B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7920">
        <w:rPr>
          <w:rFonts w:ascii="Times New Roman" w:hAnsi="Times New Roman" w:cs="Times New Roman"/>
          <w:sz w:val="24"/>
          <w:szCs w:val="24"/>
        </w:rPr>
        <w:t>In an instance where Jeremey's total cholesterol was rechecked, and it was discovered that the total cholesterol was 174 (LDL, 100; HDL, 38)</w:t>
      </w:r>
      <w:r w:rsidRPr="00F37920" w:rsidR="00921982">
        <w:rPr>
          <w:rFonts w:ascii="Times New Roman" w:hAnsi="Times New Roman" w:cs="Times New Roman"/>
          <w:sz w:val="24"/>
          <w:szCs w:val="24"/>
        </w:rPr>
        <w:t xml:space="preserve">, then it was revealed that </w:t>
      </w:r>
      <w:r w:rsidRPr="00F37920" w:rsidR="00EE116A">
        <w:rPr>
          <w:rFonts w:ascii="Times New Roman" w:hAnsi="Times New Roman" w:cs="Times New Roman"/>
          <w:sz w:val="24"/>
          <w:szCs w:val="24"/>
        </w:rPr>
        <w:t xml:space="preserve">the atorvastatin therapy was effective </w:t>
      </w:r>
      <w:r w:rsidRPr="00F37920" w:rsidR="0068559E">
        <w:rPr>
          <w:rFonts w:ascii="Times New Roman" w:hAnsi="Times New Roman" w:cs="Times New Roman"/>
          <w:sz w:val="24"/>
          <w:szCs w:val="24"/>
        </w:rPr>
        <w:t xml:space="preserve">in assessing muscle pain. However, the fact that </w:t>
      </w:r>
      <w:r w:rsidRPr="00F37920" w:rsidR="00BD7B44">
        <w:rPr>
          <w:rFonts w:ascii="Times New Roman" w:hAnsi="Times New Roman" w:cs="Times New Roman"/>
          <w:sz w:val="24"/>
          <w:szCs w:val="24"/>
        </w:rPr>
        <w:t xml:space="preserve">Jeremy </w:t>
      </w:r>
      <w:r w:rsidRPr="00F37920" w:rsidR="008F1E20">
        <w:rPr>
          <w:rFonts w:ascii="Times New Roman" w:hAnsi="Times New Roman" w:cs="Times New Roman"/>
          <w:sz w:val="24"/>
          <w:szCs w:val="24"/>
        </w:rPr>
        <w:t>is complaining of muscle pain indicat</w:t>
      </w:r>
      <w:r w:rsidRPr="00F37920" w:rsidR="000E7D33">
        <w:rPr>
          <w:rFonts w:ascii="Times New Roman" w:hAnsi="Times New Roman" w:cs="Times New Roman"/>
          <w:sz w:val="24"/>
          <w:szCs w:val="24"/>
        </w:rPr>
        <w:t xml:space="preserve">es </w:t>
      </w:r>
      <w:r w:rsidRPr="00F37920" w:rsidR="00F44197">
        <w:rPr>
          <w:rFonts w:ascii="Times New Roman" w:hAnsi="Times New Roman" w:cs="Times New Roman"/>
          <w:sz w:val="24"/>
          <w:szCs w:val="24"/>
        </w:rPr>
        <w:t xml:space="preserve">potential </w:t>
      </w:r>
      <w:r w:rsidRPr="00F37920" w:rsidR="006A7123">
        <w:rPr>
          <w:rFonts w:ascii="Times New Roman" w:hAnsi="Times New Roman" w:cs="Times New Roman"/>
          <w:sz w:val="24"/>
          <w:szCs w:val="24"/>
        </w:rPr>
        <w:t xml:space="preserve">statin-induced myopathy. </w:t>
      </w:r>
      <w:r w:rsidRPr="00F37920" w:rsidR="00FB5E57">
        <w:rPr>
          <w:rFonts w:ascii="Times New Roman" w:hAnsi="Times New Roman" w:cs="Times New Roman"/>
          <w:sz w:val="24"/>
          <w:szCs w:val="24"/>
        </w:rPr>
        <w:t xml:space="preserve">According to Vinci (2021), some risk factors for </w:t>
      </w:r>
      <w:r w:rsidRPr="00F37920" w:rsidR="00674E66">
        <w:rPr>
          <w:rFonts w:ascii="Times New Roman" w:hAnsi="Times New Roman" w:cs="Times New Roman"/>
          <w:sz w:val="24"/>
          <w:szCs w:val="24"/>
        </w:rPr>
        <w:t xml:space="preserve">statin-induced myopathy </w:t>
      </w:r>
      <w:r w:rsidRPr="00F37920" w:rsidR="00F40A8D">
        <w:rPr>
          <w:rFonts w:ascii="Times New Roman" w:hAnsi="Times New Roman" w:cs="Times New Roman"/>
          <w:sz w:val="24"/>
          <w:szCs w:val="24"/>
        </w:rPr>
        <w:t xml:space="preserve">include a high dosage of statins, </w:t>
      </w:r>
      <w:r w:rsidRPr="00F37920" w:rsidR="00611045">
        <w:rPr>
          <w:rFonts w:ascii="Times New Roman" w:hAnsi="Times New Roman" w:cs="Times New Roman"/>
          <w:sz w:val="24"/>
          <w:szCs w:val="24"/>
        </w:rPr>
        <w:t xml:space="preserve">co-existing conditions related to </w:t>
      </w:r>
      <w:r w:rsidRPr="00F37920" w:rsidR="00F14DD4">
        <w:rPr>
          <w:rFonts w:ascii="Times New Roman" w:hAnsi="Times New Roman" w:cs="Times New Roman"/>
          <w:sz w:val="24"/>
          <w:szCs w:val="24"/>
        </w:rPr>
        <w:t xml:space="preserve">rhabdomyolyses like renal insufficiency, </w:t>
      </w:r>
      <w:r w:rsidRPr="00F37920" w:rsidR="007E4237">
        <w:rPr>
          <w:rFonts w:ascii="Times New Roman" w:hAnsi="Times New Roman" w:cs="Times New Roman"/>
          <w:sz w:val="24"/>
          <w:szCs w:val="24"/>
        </w:rPr>
        <w:t xml:space="preserve">hyperthyroidism, and hepatic dysfunction, </w:t>
      </w:r>
      <w:r w:rsidRPr="00F37920" w:rsidR="00A32988">
        <w:rPr>
          <w:rFonts w:ascii="Times New Roman" w:hAnsi="Times New Roman" w:cs="Times New Roman"/>
          <w:sz w:val="24"/>
          <w:szCs w:val="24"/>
        </w:rPr>
        <w:t xml:space="preserve">and the utilization of concomitant medications. </w:t>
      </w:r>
      <w:r w:rsidRPr="00F37920" w:rsidR="00ED1001">
        <w:rPr>
          <w:rFonts w:ascii="Times New Roman" w:hAnsi="Times New Roman" w:cs="Times New Roman"/>
          <w:sz w:val="24"/>
          <w:szCs w:val="24"/>
        </w:rPr>
        <w:t>To effectively manage Jeremy's condition, a thorough investigation would first be conducted to determine whether the muscle pain results from statin-induced myopathy. The diagnosis would include a physical examination and blood tests to check the presence of anti-HMG-CoA reductase autoantibody</w:t>
      </w:r>
      <w:r w:rsidRPr="00F37920" w:rsidR="0069101B">
        <w:rPr>
          <w:rFonts w:ascii="Times New Roman" w:hAnsi="Times New Roman" w:cs="Times New Roman"/>
          <w:sz w:val="24"/>
          <w:szCs w:val="24"/>
        </w:rPr>
        <w:t xml:space="preserve"> (Nemati et al., 2021)</w:t>
      </w:r>
      <w:r w:rsidRPr="00F37920" w:rsidR="00ED1001">
        <w:rPr>
          <w:rFonts w:ascii="Times New Roman" w:hAnsi="Times New Roman" w:cs="Times New Roman"/>
          <w:sz w:val="24"/>
          <w:szCs w:val="24"/>
        </w:rPr>
        <w:t xml:space="preserve">. Furthermore, a muscle biopsy should be conducted. </w:t>
      </w:r>
      <w:r w:rsidRPr="00F37920" w:rsidR="00A51FB3">
        <w:rPr>
          <w:rFonts w:ascii="Times New Roman" w:hAnsi="Times New Roman" w:cs="Times New Roman"/>
          <w:sz w:val="24"/>
          <w:szCs w:val="24"/>
        </w:rPr>
        <w:t xml:space="preserve">If the </w:t>
      </w:r>
      <w:r w:rsidRPr="00F37920" w:rsidR="005067D0">
        <w:rPr>
          <w:rFonts w:ascii="Times New Roman" w:hAnsi="Times New Roman" w:cs="Times New Roman"/>
          <w:sz w:val="24"/>
          <w:szCs w:val="24"/>
        </w:rPr>
        <w:t xml:space="preserve">diagnosis indicates that the muscle pain is a symptom of statin-induced myopathy, then the atorvastatin therapy will be paused immediately, and patients will be treated symptomatically. </w:t>
      </w:r>
      <w:r w:rsidRPr="00F37920" w:rsidR="00D111A0">
        <w:rPr>
          <w:rFonts w:ascii="Times New Roman" w:hAnsi="Times New Roman" w:cs="Times New Roman"/>
          <w:sz w:val="24"/>
          <w:szCs w:val="24"/>
        </w:rPr>
        <w:t xml:space="preserve">However, if the diagnosis </w:t>
      </w:r>
      <w:r w:rsidRPr="00F37920" w:rsidR="005E3899">
        <w:rPr>
          <w:rFonts w:ascii="Times New Roman" w:hAnsi="Times New Roman" w:cs="Times New Roman"/>
          <w:sz w:val="24"/>
          <w:szCs w:val="24"/>
        </w:rPr>
        <w:t xml:space="preserve">shows that the muscle pain </w:t>
      </w:r>
      <w:r w:rsidRPr="00F37920" w:rsidR="00B96765">
        <w:rPr>
          <w:rFonts w:ascii="Times New Roman" w:hAnsi="Times New Roman" w:cs="Times New Roman"/>
          <w:sz w:val="24"/>
          <w:szCs w:val="24"/>
        </w:rPr>
        <w:t xml:space="preserve">does not emanate from statin-induced myopathy, </w:t>
      </w:r>
      <w:r w:rsidRPr="00F37920" w:rsidR="00ED3788">
        <w:rPr>
          <w:rFonts w:ascii="Times New Roman" w:hAnsi="Times New Roman" w:cs="Times New Roman"/>
          <w:sz w:val="24"/>
          <w:szCs w:val="24"/>
        </w:rPr>
        <w:t xml:space="preserve">the atorvastatin therapy will be continued. However, close monitoring will be required, and a lipid-lowering medication will be provided when it persists. </w:t>
      </w:r>
    </w:p>
    <w:p w:rsidR="007004DD" w:rsidRPr="00F37920" w:rsidP="00F37920" w14:paraId="180CECA9" w14:textId="1EC7EF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7920">
        <w:rPr>
          <w:rFonts w:ascii="Times New Roman" w:hAnsi="Times New Roman" w:cs="Times New Roman"/>
          <w:sz w:val="24"/>
          <w:szCs w:val="24"/>
        </w:rPr>
        <w:t xml:space="preserve">I would conduct the first follow-up after four weeks. This is because it takes 4 to 2 weeks after beginning a statin or combined therapy for change to occur. </w:t>
      </w:r>
      <w:r w:rsidRPr="00F37920" w:rsidR="00F2677A">
        <w:rPr>
          <w:rFonts w:ascii="Times New Roman" w:hAnsi="Times New Roman" w:cs="Times New Roman"/>
          <w:sz w:val="24"/>
          <w:szCs w:val="24"/>
        </w:rPr>
        <w:t>The first follow-up visit will assess Jeremy’s adherence to medication and his response to medication based on the LDL-C measurements. Also, it</w:t>
      </w:r>
      <w:r w:rsidRPr="00F37920" w:rsidR="00E5385E">
        <w:rPr>
          <w:rFonts w:ascii="Times New Roman" w:hAnsi="Times New Roman" w:cs="Times New Roman"/>
          <w:sz w:val="24"/>
          <w:szCs w:val="24"/>
        </w:rPr>
        <w:t xml:space="preserve"> would help check whether Jeremy had adjusted </w:t>
      </w:r>
      <w:r w:rsidRPr="00F37920" w:rsidR="00B519CB">
        <w:rPr>
          <w:rFonts w:ascii="Times New Roman" w:hAnsi="Times New Roman" w:cs="Times New Roman"/>
          <w:sz w:val="24"/>
          <w:szCs w:val="24"/>
        </w:rPr>
        <w:t>his lifesty</w:t>
      </w:r>
      <w:r w:rsidRPr="00F37920" w:rsidR="00DD220C">
        <w:rPr>
          <w:rFonts w:ascii="Times New Roman" w:hAnsi="Times New Roman" w:cs="Times New Roman"/>
          <w:sz w:val="24"/>
          <w:szCs w:val="24"/>
        </w:rPr>
        <w:t xml:space="preserve">le. </w:t>
      </w:r>
      <w:r w:rsidRPr="00F37920" w:rsidR="00DD220C">
        <w:rPr>
          <w:rFonts w:ascii="Times New Roman" w:hAnsi="Times New Roman" w:cs="Times New Roman"/>
          <w:sz w:val="24"/>
          <w:szCs w:val="24"/>
        </w:rPr>
        <w:t>The atorvastatin dosage would be adjust</w:t>
      </w:r>
      <w:r w:rsidRPr="00F37920" w:rsidR="001F1A1D">
        <w:rPr>
          <w:rFonts w:ascii="Times New Roman" w:hAnsi="Times New Roman" w:cs="Times New Roman"/>
          <w:sz w:val="24"/>
          <w:szCs w:val="24"/>
        </w:rPr>
        <w:t>ed (Grundy et al., 2018)</w:t>
      </w:r>
      <w:r w:rsidRPr="00F37920" w:rsidR="00DD220C">
        <w:rPr>
          <w:rFonts w:ascii="Times New Roman" w:hAnsi="Times New Roman" w:cs="Times New Roman"/>
          <w:sz w:val="24"/>
          <w:szCs w:val="24"/>
        </w:rPr>
        <w:t xml:space="preserve">. The subsequent follow-ups would be after 3 to 12 months, as required. </w:t>
      </w:r>
    </w:p>
    <w:p w:rsidR="00FD0012" w:rsidRPr="00F37920" w:rsidP="00F37920" w14:paraId="275E75F7" w14:textId="4CA049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37920">
        <w:rPr>
          <w:rFonts w:ascii="Times New Roman" w:hAnsi="Times New Roman" w:cs="Times New Roman"/>
          <w:sz w:val="24"/>
          <w:szCs w:val="24"/>
        </w:rPr>
        <w:t xml:space="preserve">During the follow-up period, several </w:t>
      </w:r>
      <w:r w:rsidRPr="00F37920" w:rsidR="00055BDB">
        <w:rPr>
          <w:rFonts w:ascii="Times New Roman" w:hAnsi="Times New Roman" w:cs="Times New Roman"/>
          <w:sz w:val="24"/>
          <w:szCs w:val="24"/>
        </w:rPr>
        <w:t>tests will be carried out. First, a lipid profile test would be conducted to determine whether the atorvastatin therapy effectively lowered cholesterol levels. Next, creatine kinase level tests would be performed to determine whether Jeremy had myopathy, a potential side-effect of the therapy</w:t>
      </w:r>
      <w:r w:rsidRPr="00F37920" w:rsidR="00954625">
        <w:rPr>
          <w:rFonts w:ascii="Times New Roman" w:hAnsi="Times New Roman" w:cs="Times New Roman"/>
          <w:sz w:val="24"/>
          <w:szCs w:val="24"/>
        </w:rPr>
        <w:t xml:space="preserve"> (Nogueira et al., 2019)</w:t>
      </w:r>
      <w:r w:rsidRPr="00F37920" w:rsidR="00055BDB">
        <w:rPr>
          <w:rFonts w:ascii="Times New Roman" w:hAnsi="Times New Roman" w:cs="Times New Roman"/>
          <w:sz w:val="24"/>
          <w:szCs w:val="24"/>
        </w:rPr>
        <w:t xml:space="preserve">. Although liver toxicity is rare in statin patients, a liver functioning test would be carried out to confirm that the patient's liver is functioning as expected. </w:t>
      </w:r>
      <w:r w:rsidRPr="00F37920" w:rsidR="004B0836">
        <w:rPr>
          <w:rFonts w:ascii="Times New Roman" w:hAnsi="Times New Roman" w:cs="Times New Roman"/>
          <w:sz w:val="24"/>
          <w:szCs w:val="24"/>
        </w:rPr>
        <w:t xml:space="preserve">Furthermore, the fasting blood glucose levels would be obtained to determine the effectiveness of </w:t>
      </w:r>
      <w:r w:rsidRPr="00F37920" w:rsidR="00536DEB">
        <w:rPr>
          <w:rFonts w:ascii="Times New Roman" w:hAnsi="Times New Roman" w:cs="Times New Roman"/>
          <w:sz w:val="24"/>
          <w:szCs w:val="24"/>
        </w:rPr>
        <w:t xml:space="preserve">diabetes management. </w:t>
      </w:r>
      <w:r w:rsidRPr="00F37920" w:rsidR="0094357A">
        <w:rPr>
          <w:rFonts w:ascii="Times New Roman" w:hAnsi="Times New Roman" w:cs="Times New Roman"/>
          <w:sz w:val="24"/>
          <w:szCs w:val="24"/>
        </w:rPr>
        <w:t>Lastly, kidney function tests would be required to determine whether the patient's conditions, such as hypertension and diabetes, affected kidney functioning.</w:t>
      </w:r>
    </w:p>
    <w:p w:rsidR="00F37920" w14:paraId="70420526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4625" w:rsidRPr="00F37920" w:rsidP="00F37920" w14:paraId="3C368A72" w14:textId="0BD11C9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792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4216B" w:rsidRPr="00F37920" w:rsidP="00F37920" w14:paraId="36BC01D4" w14:textId="77777777">
      <w:pPr>
        <w:pStyle w:val="NormalWeb"/>
        <w:spacing w:before="0" w:beforeAutospacing="0" w:after="0" w:afterAutospacing="0" w:line="480" w:lineRule="auto"/>
        <w:ind w:left="720" w:hanging="720"/>
      </w:pPr>
      <w:r w:rsidRPr="00F37920">
        <w:t xml:space="preserve">ACC/AHA. (2019). </w:t>
      </w:r>
      <w:r w:rsidRPr="00F37920">
        <w:rPr>
          <w:i/>
          <w:iCs/>
        </w:rPr>
        <w:t>2019 ACC/AHA Guideline on the Primary Prevention of Cardiovascular Disease</w:t>
      </w:r>
      <w:r w:rsidRPr="00F37920">
        <w:t>. American College of Cardiology. https://www.acc.org/latest-in-cardiology/ten-points-to-remember/2019/03/07/16/00/2019-acc-aha-guideline-on-primary-prevention-gl-prevention#:~:text=Adults%20should%20be%20categorized%20into</w:t>
      </w:r>
    </w:p>
    <w:p w:rsidR="0054216B" w:rsidRPr="00F37920" w:rsidP="00F37920" w14:paraId="659EE48D" w14:textId="77777777">
      <w:pPr>
        <w:pStyle w:val="NormalWeb"/>
        <w:spacing w:before="0" w:beforeAutospacing="0" w:after="0" w:afterAutospacing="0" w:line="480" w:lineRule="auto"/>
        <w:ind w:left="720" w:hanging="720"/>
      </w:pPr>
      <w:r w:rsidRPr="00F37920">
        <w:t xml:space="preserve">Agrawal, D., Manchanda, S. C., Sawhney, J. P. S., Kandpal, B., Jain, R., Mehta, A., Mohanty, A., Passey, R., Makhija, A., &amp; Sharma, M. Kr. (2018). To study the effect of high dose Atorvastatin 40 mg versus 80 mg in patients with dyslipidemia. </w:t>
      </w:r>
      <w:r w:rsidRPr="00F37920">
        <w:rPr>
          <w:i/>
          <w:iCs/>
        </w:rPr>
        <w:t>Indian Heart Journal</w:t>
      </w:r>
      <w:r w:rsidRPr="00F37920">
        <w:t xml:space="preserve">, </w:t>
      </w:r>
      <w:r w:rsidRPr="00F37920">
        <w:rPr>
          <w:i/>
          <w:iCs/>
        </w:rPr>
        <w:t>70</w:t>
      </w:r>
      <w:r w:rsidRPr="00F37920">
        <w:t>, S8–S12. https://doi.org/10.1016/j.ihj.2018.01.034</w:t>
      </w:r>
    </w:p>
    <w:p w:rsidR="0054216B" w:rsidRPr="00F37920" w:rsidP="00F37920" w14:paraId="1BB2DA74" w14:textId="77777777">
      <w:pPr>
        <w:pStyle w:val="NormalWeb"/>
        <w:spacing w:before="0" w:beforeAutospacing="0" w:after="0" w:afterAutospacing="0" w:line="480" w:lineRule="auto"/>
        <w:ind w:left="720" w:hanging="720"/>
      </w:pPr>
      <w:r w:rsidRPr="00F37920">
        <w:t xml:space="preserve">American College of Cardiology. (2021). </w:t>
      </w:r>
      <w:r w:rsidRPr="00F37920">
        <w:rPr>
          <w:i/>
          <w:iCs/>
        </w:rPr>
        <w:t>ASCVD risk estimator</w:t>
      </w:r>
      <w:r w:rsidRPr="00F37920">
        <w:t>. Tools.acc.org. https://tools.acc.org/ascvd-risk-estimator-plus/#</w:t>
      </w:r>
    </w:p>
    <w:p w:rsidR="0054216B" w:rsidRPr="00F37920" w:rsidP="00F37920" w14:paraId="377356D4" w14:textId="77777777">
      <w:pPr>
        <w:pStyle w:val="NormalWeb"/>
        <w:spacing w:before="0" w:beforeAutospacing="0" w:after="0" w:afterAutospacing="0" w:line="480" w:lineRule="auto"/>
        <w:ind w:left="720" w:hanging="720"/>
      </w:pPr>
      <w:r w:rsidRPr="00F37920">
        <w:t xml:space="preserve">Bardolia, C., Amin, N. S., &amp; Turgeon, J. (2021). Emerging Non-statin Treatment Options for Lowering Low-Density Lipoprotein Cholesterol. </w:t>
      </w:r>
      <w:r w:rsidRPr="00F37920">
        <w:rPr>
          <w:i/>
          <w:iCs/>
        </w:rPr>
        <w:t>Frontiers in Cardiovascular Medicine</w:t>
      </w:r>
      <w:r w:rsidRPr="00F37920">
        <w:t xml:space="preserve">, </w:t>
      </w:r>
      <w:r w:rsidRPr="00F37920">
        <w:rPr>
          <w:i/>
          <w:iCs/>
        </w:rPr>
        <w:t>8</w:t>
      </w:r>
      <w:r w:rsidRPr="00F37920">
        <w:t>. https://doi.org/10.3389/fcvm.2021.789931</w:t>
      </w:r>
    </w:p>
    <w:p w:rsidR="0054216B" w:rsidRPr="00F37920" w:rsidP="00F37920" w14:paraId="5ED6CFD1" w14:textId="77777777">
      <w:pPr>
        <w:pStyle w:val="NormalWeb"/>
        <w:spacing w:before="0" w:beforeAutospacing="0" w:after="0" w:afterAutospacing="0" w:line="480" w:lineRule="auto"/>
        <w:ind w:left="720" w:hanging="720"/>
      </w:pPr>
      <w:r w:rsidRPr="00F37920">
        <w:t xml:space="preserve">Grundy, S. M., Stone, N. J., Bailey, A. L., Beam, C., Birtcher, K. K., Blumenthal, R. S., Braun, L. T., de Ferranti, S., Faiella-Tommasino, J., Forman, D. E., Goldberg, R., Heidenreich, P. A., Hlatky, M. A., Jones, D. W., Lloyd-Jones, D., Lopez-Pajares, N., Ndumele, C. E., Orringer, C. E., Peralta, C. A., &amp; Saseen, J. J. (2018). 2018 AHA/ACC/AACVPR/AAPA/ABC/ACPM/ADA/AGS/APhA/ASPC/NLA/PCNA Guideline on the Management of Blood Cholesterol. </w:t>
      </w:r>
      <w:r w:rsidRPr="00F37920">
        <w:rPr>
          <w:i/>
          <w:iCs/>
        </w:rPr>
        <w:t>Circulation</w:t>
      </w:r>
      <w:r w:rsidRPr="00F37920">
        <w:t xml:space="preserve">, </w:t>
      </w:r>
      <w:r w:rsidRPr="00F37920">
        <w:rPr>
          <w:i/>
          <w:iCs/>
        </w:rPr>
        <w:t>139</w:t>
      </w:r>
      <w:r w:rsidRPr="00F37920">
        <w:t>(25). https://doi.org/10.1161/cir.0000000000000625</w:t>
      </w:r>
    </w:p>
    <w:p w:rsidR="0054216B" w:rsidRPr="00F37920" w:rsidP="00F37920" w14:paraId="71EF65BB" w14:textId="77777777">
      <w:pPr>
        <w:pStyle w:val="NormalWeb"/>
        <w:spacing w:before="0" w:beforeAutospacing="0" w:after="0" w:afterAutospacing="0" w:line="480" w:lineRule="auto"/>
        <w:ind w:left="720" w:hanging="720"/>
      </w:pPr>
      <w:r w:rsidRPr="00F37920">
        <w:t xml:space="preserve">Kaiser Permanente. (2020). </w:t>
      </w:r>
      <w:r w:rsidRPr="00F37920">
        <w:rPr>
          <w:i/>
          <w:iCs/>
        </w:rPr>
        <w:t>Atherosclerotic Cardiovascular Disease (ASCVD) Primary Prevention Guideline</w:t>
      </w:r>
      <w:r w:rsidRPr="00F37920">
        <w:t>. https://wa.kaiserpermanente.org/static/pdf/public/guidelines/ascvd-primary.pdf</w:t>
      </w:r>
    </w:p>
    <w:p w:rsidR="0054216B" w:rsidRPr="00F37920" w:rsidP="00F37920" w14:paraId="081EAADA" w14:textId="77777777">
      <w:pPr>
        <w:pStyle w:val="NormalWeb"/>
        <w:spacing w:before="0" w:beforeAutospacing="0" w:after="0" w:afterAutospacing="0" w:line="480" w:lineRule="auto"/>
        <w:ind w:left="720" w:hanging="720"/>
      </w:pPr>
      <w:r w:rsidRPr="00F37920">
        <w:t xml:space="preserve">Nemati, M., Srai, M., &amp; Rudrangi, R. (2021). Statin-Induced Autoimmune Myopathy. </w:t>
      </w:r>
      <w:r w:rsidRPr="00F37920">
        <w:rPr>
          <w:i/>
          <w:iCs/>
        </w:rPr>
        <w:t>Cureus</w:t>
      </w:r>
      <w:r w:rsidRPr="00F37920">
        <w:t>. https://doi.org/10.7759/cureus.13576</w:t>
      </w:r>
    </w:p>
    <w:p w:rsidR="0054216B" w:rsidRPr="00F37920" w:rsidP="00F37920" w14:paraId="1B8D20AC" w14:textId="77777777">
      <w:pPr>
        <w:pStyle w:val="NormalWeb"/>
        <w:spacing w:before="0" w:beforeAutospacing="0" w:after="0" w:afterAutospacing="0" w:line="480" w:lineRule="auto"/>
        <w:ind w:left="720" w:hanging="720"/>
      </w:pPr>
      <w:r w:rsidRPr="00F37920">
        <w:t xml:space="preserve">Nogueira, A. A., Strunz, C. M., Takada, J. Y., &amp; Mansur, A. P. (2019). Biochemical markers of muscle damage and high serum concentration of creatine kinase in patients on statin therapy. </w:t>
      </w:r>
      <w:r w:rsidRPr="00F37920">
        <w:rPr>
          <w:i/>
          <w:iCs/>
        </w:rPr>
        <w:t>Biomarkers in Medicine</w:t>
      </w:r>
      <w:r w:rsidRPr="00F37920">
        <w:t xml:space="preserve">, </w:t>
      </w:r>
      <w:r w:rsidRPr="00F37920">
        <w:rPr>
          <w:i/>
          <w:iCs/>
        </w:rPr>
        <w:t>13</w:t>
      </w:r>
      <w:r w:rsidRPr="00F37920">
        <w:t>(8), 619–626. https://doi.org/10.2217/bmm-2018-0379</w:t>
      </w:r>
    </w:p>
    <w:p w:rsidR="0054216B" w:rsidRPr="00F37920" w:rsidP="00F37920" w14:paraId="102B3829" w14:textId="77777777">
      <w:pPr>
        <w:pStyle w:val="NormalWeb"/>
        <w:spacing w:before="0" w:beforeAutospacing="0" w:after="0" w:afterAutospacing="0" w:line="480" w:lineRule="auto"/>
        <w:ind w:left="720" w:hanging="720"/>
      </w:pPr>
      <w:r w:rsidRPr="00F37920">
        <w:t xml:space="preserve">Vinci, P., Panizon, E., Tosoni, L. M., Cerrato, C., Pellicori, F., Mearelli, F., Biasinutto, C., Fiotti, N., Di Girolamo, F. G., &amp; Biolo, G. (2021). Statin-Associated Myopathy: Emphasis on Mechanisms and Targeted Therapy. </w:t>
      </w:r>
      <w:r w:rsidRPr="00F37920">
        <w:rPr>
          <w:i/>
          <w:iCs/>
        </w:rPr>
        <w:t>International Journal of Molecular Sciences</w:t>
      </w:r>
      <w:r w:rsidRPr="00F37920">
        <w:t xml:space="preserve">, </w:t>
      </w:r>
      <w:r w:rsidRPr="00F37920">
        <w:rPr>
          <w:i/>
          <w:iCs/>
        </w:rPr>
        <w:t>22</w:t>
      </w:r>
      <w:r w:rsidRPr="00F37920">
        <w:t>(21), 11687. https://doi.org/10.3390/ijms222111687</w:t>
      </w:r>
    </w:p>
    <w:p w:rsidR="009F167A" w:rsidRPr="009F167A" w:rsidP="009F167A" w14:paraId="77EE6B23" w14:textId="77777777"/>
    <w:sectPr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70888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F37920" w:rsidRPr="00F37920" w:rsidP="00F37920" w14:paraId="25A39892" w14:textId="46477E71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379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792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79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3792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37920" w14:paraId="048C124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59"/>
    <w:rsid w:val="00013CFB"/>
    <w:rsid w:val="00055BDB"/>
    <w:rsid w:val="000C639B"/>
    <w:rsid w:val="000E7D33"/>
    <w:rsid w:val="00115DA9"/>
    <w:rsid w:val="001233C1"/>
    <w:rsid w:val="00133FA7"/>
    <w:rsid w:val="00171341"/>
    <w:rsid w:val="001A7859"/>
    <w:rsid w:val="001D13AA"/>
    <w:rsid w:val="001E285E"/>
    <w:rsid w:val="001E7E32"/>
    <w:rsid w:val="001F1A1D"/>
    <w:rsid w:val="002054E7"/>
    <w:rsid w:val="0023538B"/>
    <w:rsid w:val="00280C32"/>
    <w:rsid w:val="002A560A"/>
    <w:rsid w:val="002A742A"/>
    <w:rsid w:val="002B0ACA"/>
    <w:rsid w:val="002B6149"/>
    <w:rsid w:val="00303D33"/>
    <w:rsid w:val="003631D1"/>
    <w:rsid w:val="00373EA0"/>
    <w:rsid w:val="00394027"/>
    <w:rsid w:val="00394E45"/>
    <w:rsid w:val="003B2ABA"/>
    <w:rsid w:val="003D48B5"/>
    <w:rsid w:val="003F3DD8"/>
    <w:rsid w:val="00416826"/>
    <w:rsid w:val="00465782"/>
    <w:rsid w:val="004A63CE"/>
    <w:rsid w:val="004B0836"/>
    <w:rsid w:val="004B3ADB"/>
    <w:rsid w:val="004D1E59"/>
    <w:rsid w:val="005067D0"/>
    <w:rsid w:val="00536DEB"/>
    <w:rsid w:val="00537F5D"/>
    <w:rsid w:val="0054216B"/>
    <w:rsid w:val="005674A9"/>
    <w:rsid w:val="005A68DD"/>
    <w:rsid w:val="005E3899"/>
    <w:rsid w:val="00600869"/>
    <w:rsid w:val="00607F46"/>
    <w:rsid w:val="00611045"/>
    <w:rsid w:val="006143A7"/>
    <w:rsid w:val="0061597A"/>
    <w:rsid w:val="00674E66"/>
    <w:rsid w:val="00677783"/>
    <w:rsid w:val="0068559E"/>
    <w:rsid w:val="0069101B"/>
    <w:rsid w:val="006A7123"/>
    <w:rsid w:val="007004DD"/>
    <w:rsid w:val="00706B49"/>
    <w:rsid w:val="007E4237"/>
    <w:rsid w:val="007F347F"/>
    <w:rsid w:val="00830C45"/>
    <w:rsid w:val="008318E5"/>
    <w:rsid w:val="0083418D"/>
    <w:rsid w:val="00865056"/>
    <w:rsid w:val="00872E93"/>
    <w:rsid w:val="008B1065"/>
    <w:rsid w:val="008B1AA6"/>
    <w:rsid w:val="008E3178"/>
    <w:rsid w:val="008F1E20"/>
    <w:rsid w:val="00914CD2"/>
    <w:rsid w:val="00921982"/>
    <w:rsid w:val="0094357A"/>
    <w:rsid w:val="00954625"/>
    <w:rsid w:val="009571B9"/>
    <w:rsid w:val="009C22C8"/>
    <w:rsid w:val="009D16A1"/>
    <w:rsid w:val="009F167A"/>
    <w:rsid w:val="00A2252E"/>
    <w:rsid w:val="00A32988"/>
    <w:rsid w:val="00A32D87"/>
    <w:rsid w:val="00A4795C"/>
    <w:rsid w:val="00A51FB3"/>
    <w:rsid w:val="00A55E43"/>
    <w:rsid w:val="00A6375D"/>
    <w:rsid w:val="00A70051"/>
    <w:rsid w:val="00A70819"/>
    <w:rsid w:val="00A72E24"/>
    <w:rsid w:val="00AB45F5"/>
    <w:rsid w:val="00B05D6A"/>
    <w:rsid w:val="00B31B6D"/>
    <w:rsid w:val="00B45A2E"/>
    <w:rsid w:val="00B513DA"/>
    <w:rsid w:val="00B519CB"/>
    <w:rsid w:val="00B56C61"/>
    <w:rsid w:val="00B96765"/>
    <w:rsid w:val="00BC65F2"/>
    <w:rsid w:val="00BD7B44"/>
    <w:rsid w:val="00C062C5"/>
    <w:rsid w:val="00C45237"/>
    <w:rsid w:val="00C46EA2"/>
    <w:rsid w:val="00C74D57"/>
    <w:rsid w:val="00C84833"/>
    <w:rsid w:val="00C9464B"/>
    <w:rsid w:val="00CF5395"/>
    <w:rsid w:val="00D111A0"/>
    <w:rsid w:val="00D30752"/>
    <w:rsid w:val="00D403CF"/>
    <w:rsid w:val="00D527EF"/>
    <w:rsid w:val="00D63C6B"/>
    <w:rsid w:val="00D6677C"/>
    <w:rsid w:val="00D757E4"/>
    <w:rsid w:val="00DA5EB8"/>
    <w:rsid w:val="00DD220C"/>
    <w:rsid w:val="00DD74E9"/>
    <w:rsid w:val="00E5385E"/>
    <w:rsid w:val="00E81082"/>
    <w:rsid w:val="00ED1001"/>
    <w:rsid w:val="00ED3788"/>
    <w:rsid w:val="00EE116A"/>
    <w:rsid w:val="00EE3CED"/>
    <w:rsid w:val="00F14DD4"/>
    <w:rsid w:val="00F2677A"/>
    <w:rsid w:val="00F37920"/>
    <w:rsid w:val="00F40A8D"/>
    <w:rsid w:val="00F44197"/>
    <w:rsid w:val="00F613CA"/>
    <w:rsid w:val="00F93918"/>
    <w:rsid w:val="00F96609"/>
    <w:rsid w:val="00FB5E57"/>
    <w:rsid w:val="00FD0012"/>
    <w:rsid w:val="00FD58D6"/>
    <w:rsid w:val="00FE30F0"/>
    <w:rsid w:val="00FF5DF0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E7B4C9"/>
  <w15:chartTrackingRefBased/>
  <w15:docId w15:val="{1269263B-73F7-4744-B93B-37FBF9B7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EB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1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3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A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2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37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20"/>
  </w:style>
  <w:style w:type="paragraph" w:styleId="Footer">
    <w:name w:val="footer"/>
    <w:basedOn w:val="Normal"/>
    <w:link w:val="FooterChar"/>
    <w:uiPriority w:val="99"/>
    <w:unhideWhenUsed/>
    <w:rsid w:val="00F37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ools.acc.org/ascvd-risk-estimator-plus/#!/calculate/estimate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125</cp:revision>
  <dcterms:created xsi:type="dcterms:W3CDTF">2023-05-10T13:58:00Z</dcterms:created>
  <dcterms:modified xsi:type="dcterms:W3CDTF">2023-05-10T20:01:00Z</dcterms:modified>
</cp:coreProperties>
</file>