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30550E" w:rsidRDefault="00A34B3C" w:rsidP="003055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550E">
        <w:rPr>
          <w:rFonts w:ascii="Times New Roman" w:hAnsi="Times New Roman" w:cs="Times New Roman"/>
          <w:sz w:val="24"/>
          <w:szCs w:val="24"/>
        </w:rPr>
        <w:t>Hello</w:t>
      </w:r>
      <w:r w:rsidR="001A6ECB" w:rsidRPr="0030550E">
        <w:rPr>
          <w:rFonts w:ascii="Times New Roman" w:hAnsi="Times New Roman" w:cs="Times New Roman"/>
          <w:sz w:val="24"/>
          <w:szCs w:val="24"/>
        </w:rPr>
        <w:t xml:space="preserve"> Rachel</w:t>
      </w:r>
      <w:r w:rsidRPr="0030550E">
        <w:rPr>
          <w:rFonts w:ascii="Times New Roman" w:hAnsi="Times New Roman" w:cs="Times New Roman"/>
          <w:sz w:val="24"/>
          <w:szCs w:val="24"/>
        </w:rPr>
        <w:t>,</w:t>
      </w:r>
    </w:p>
    <w:p w:rsidR="00CA2892" w:rsidRPr="0030550E" w:rsidRDefault="00F31A60" w:rsidP="003055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550E">
        <w:rPr>
          <w:rFonts w:ascii="Times New Roman" w:hAnsi="Times New Roman" w:cs="Times New Roman"/>
          <w:sz w:val="24"/>
          <w:szCs w:val="24"/>
        </w:rPr>
        <w:t xml:space="preserve">Thank you for the </w:t>
      </w:r>
      <w:r w:rsidR="00D172EF" w:rsidRPr="0030550E">
        <w:rPr>
          <w:rFonts w:ascii="Times New Roman" w:hAnsi="Times New Roman" w:cs="Times New Roman"/>
          <w:sz w:val="24"/>
          <w:szCs w:val="24"/>
        </w:rPr>
        <w:t>great discussion. Trichotillomania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D172EF" w:rsidRPr="0030550E">
        <w:rPr>
          <w:rFonts w:ascii="Times New Roman" w:hAnsi="Times New Roman" w:cs="Times New Roman"/>
          <w:sz w:val="24"/>
          <w:szCs w:val="24"/>
        </w:rPr>
        <w:t xml:space="preserve"> or hair</w:t>
      </w:r>
      <w:r w:rsidR="007F3148">
        <w:rPr>
          <w:rFonts w:ascii="Times New Roman" w:hAnsi="Times New Roman" w:cs="Times New Roman"/>
          <w:sz w:val="24"/>
          <w:szCs w:val="24"/>
        </w:rPr>
        <w:t>-</w:t>
      </w:r>
      <w:r w:rsidR="00D172EF" w:rsidRPr="0030550E">
        <w:rPr>
          <w:rFonts w:ascii="Times New Roman" w:hAnsi="Times New Roman" w:cs="Times New Roman"/>
          <w:sz w:val="24"/>
          <w:szCs w:val="24"/>
        </w:rPr>
        <w:t>pulling disorder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D172EF" w:rsidRPr="0030550E">
        <w:rPr>
          <w:rFonts w:ascii="Times New Roman" w:hAnsi="Times New Roman" w:cs="Times New Roman"/>
          <w:sz w:val="24"/>
          <w:szCs w:val="24"/>
        </w:rPr>
        <w:t xml:space="preserve"> </w:t>
      </w:r>
      <w:r w:rsidR="009D57FB" w:rsidRPr="0030550E">
        <w:rPr>
          <w:rFonts w:ascii="Times New Roman" w:hAnsi="Times New Roman" w:cs="Times New Roman"/>
          <w:sz w:val="24"/>
          <w:szCs w:val="24"/>
        </w:rPr>
        <w:t>was first documented in medical literature in the 19</w:t>
      </w:r>
      <w:r w:rsidR="009D57FB" w:rsidRPr="003055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57FB" w:rsidRPr="0030550E">
        <w:rPr>
          <w:rFonts w:ascii="Times New Roman" w:hAnsi="Times New Roman" w:cs="Times New Roman"/>
          <w:sz w:val="24"/>
          <w:szCs w:val="24"/>
        </w:rPr>
        <w:t xml:space="preserve"> century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9D57FB" w:rsidRPr="0030550E">
        <w:rPr>
          <w:rFonts w:ascii="Times New Roman" w:hAnsi="Times New Roman" w:cs="Times New Roman"/>
          <w:sz w:val="24"/>
          <w:szCs w:val="24"/>
        </w:rPr>
        <w:t xml:space="preserve"> and its </w:t>
      </w:r>
      <w:r w:rsidR="0038299D" w:rsidRPr="0030550E">
        <w:rPr>
          <w:rFonts w:ascii="Times New Roman" w:hAnsi="Times New Roman" w:cs="Times New Roman"/>
          <w:sz w:val="24"/>
          <w:szCs w:val="24"/>
        </w:rPr>
        <w:t xml:space="preserve">lifetime </w:t>
      </w:r>
      <w:r w:rsidR="009D57FB" w:rsidRPr="0030550E">
        <w:rPr>
          <w:rFonts w:ascii="Times New Roman" w:hAnsi="Times New Roman" w:cs="Times New Roman"/>
          <w:sz w:val="24"/>
          <w:szCs w:val="24"/>
        </w:rPr>
        <w:t xml:space="preserve">prevalence </w:t>
      </w:r>
      <w:r w:rsidR="0038299D" w:rsidRPr="0030550E">
        <w:rPr>
          <w:rFonts w:ascii="Times New Roman" w:hAnsi="Times New Roman" w:cs="Times New Roman"/>
          <w:sz w:val="24"/>
          <w:szCs w:val="24"/>
        </w:rPr>
        <w:t>is approximately 0.6%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38299D" w:rsidRPr="0030550E">
        <w:rPr>
          <w:rFonts w:ascii="Times New Roman" w:hAnsi="Times New Roman" w:cs="Times New Roman"/>
          <w:sz w:val="24"/>
          <w:szCs w:val="24"/>
        </w:rPr>
        <w:t xml:space="preserve"> and point prevalence </w:t>
      </w:r>
      <w:r w:rsidR="005D79FF" w:rsidRPr="0030550E">
        <w:rPr>
          <w:rFonts w:ascii="Times New Roman" w:hAnsi="Times New Roman" w:cs="Times New Roman"/>
          <w:sz w:val="24"/>
          <w:szCs w:val="24"/>
        </w:rPr>
        <w:t>is estimated to be between 0.0% and 3.9%. The disorder is often characterized by shame and embarrassment</w:t>
      </w:r>
      <w:r w:rsidR="007F3148">
        <w:rPr>
          <w:rFonts w:ascii="Times New Roman" w:hAnsi="Times New Roman" w:cs="Times New Roman"/>
          <w:sz w:val="24"/>
          <w:szCs w:val="24"/>
        </w:rPr>
        <w:t>; the numbers may fluctuate or underestimate the true prevalence and appear four times more common in females than males. I</w:t>
      </w:r>
      <w:r w:rsidR="00C524FA" w:rsidRPr="0030550E">
        <w:rPr>
          <w:rFonts w:ascii="Times New Roman" w:hAnsi="Times New Roman" w:cs="Times New Roman"/>
          <w:sz w:val="24"/>
          <w:szCs w:val="24"/>
        </w:rPr>
        <w:t>n childhood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C524FA" w:rsidRPr="0030550E">
        <w:rPr>
          <w:rFonts w:ascii="Times New Roman" w:hAnsi="Times New Roman" w:cs="Times New Roman"/>
          <w:sz w:val="24"/>
          <w:szCs w:val="24"/>
        </w:rPr>
        <w:t xml:space="preserve"> sex distribution is equal</w:t>
      </w:r>
      <w:r w:rsidR="00FE70B0" w:rsidRPr="0030550E">
        <w:rPr>
          <w:rFonts w:ascii="Times New Roman" w:hAnsi="Times New Roman" w:cs="Times New Roman"/>
          <w:sz w:val="24"/>
          <w:szCs w:val="24"/>
        </w:rPr>
        <w:t xml:space="preserve"> (</w:t>
      </w:r>
      <w:r w:rsidR="00D77B76" w:rsidRPr="0030550E">
        <w:rPr>
          <w:rFonts w:ascii="Times New Roman" w:hAnsi="Times New Roman" w:cs="Times New Roman"/>
          <w:sz w:val="24"/>
          <w:szCs w:val="24"/>
        </w:rPr>
        <w:t>Grant, 2019</w:t>
      </w:r>
      <w:r w:rsidR="00FE70B0" w:rsidRPr="0030550E">
        <w:rPr>
          <w:rFonts w:ascii="Times New Roman" w:hAnsi="Times New Roman" w:cs="Times New Roman"/>
          <w:sz w:val="24"/>
          <w:szCs w:val="24"/>
        </w:rPr>
        <w:t>)</w:t>
      </w:r>
      <w:r w:rsidR="00C524FA" w:rsidRPr="0030550E">
        <w:rPr>
          <w:rFonts w:ascii="Times New Roman" w:hAnsi="Times New Roman" w:cs="Times New Roman"/>
          <w:sz w:val="24"/>
          <w:szCs w:val="24"/>
        </w:rPr>
        <w:t xml:space="preserve">. </w:t>
      </w:r>
      <w:r w:rsidR="003F26D1" w:rsidRPr="0030550E">
        <w:rPr>
          <w:rFonts w:ascii="Times New Roman" w:hAnsi="Times New Roman" w:cs="Times New Roman"/>
          <w:sz w:val="24"/>
          <w:szCs w:val="24"/>
        </w:rPr>
        <w:t xml:space="preserve">As mentioned earlier, </w:t>
      </w:r>
      <w:r w:rsidR="007F3148">
        <w:rPr>
          <w:rFonts w:ascii="Times New Roman" w:hAnsi="Times New Roman" w:cs="Times New Roman"/>
          <w:sz w:val="24"/>
          <w:szCs w:val="24"/>
        </w:rPr>
        <w:t xml:space="preserve">the </w:t>
      </w:r>
      <w:r w:rsidR="00156800" w:rsidRPr="0030550E">
        <w:rPr>
          <w:rFonts w:ascii="Times New Roman" w:hAnsi="Times New Roman" w:cs="Times New Roman"/>
          <w:sz w:val="24"/>
          <w:szCs w:val="24"/>
        </w:rPr>
        <w:t xml:space="preserve">onset of hair pulling is common in </w:t>
      </w:r>
      <w:r w:rsidR="007F3148">
        <w:rPr>
          <w:rFonts w:ascii="Times New Roman" w:hAnsi="Times New Roman" w:cs="Times New Roman"/>
          <w:sz w:val="24"/>
          <w:szCs w:val="24"/>
        </w:rPr>
        <w:t xml:space="preserve">the </w:t>
      </w:r>
      <w:r w:rsidR="00156800" w:rsidRPr="0030550E">
        <w:rPr>
          <w:rFonts w:ascii="Times New Roman" w:hAnsi="Times New Roman" w:cs="Times New Roman"/>
          <w:sz w:val="24"/>
          <w:szCs w:val="24"/>
        </w:rPr>
        <w:t>developmental period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156800" w:rsidRPr="0030550E">
        <w:rPr>
          <w:rFonts w:ascii="Times New Roman" w:hAnsi="Times New Roman" w:cs="Times New Roman"/>
          <w:sz w:val="24"/>
          <w:szCs w:val="24"/>
        </w:rPr>
        <w:t xml:space="preserve"> especially late childhood and early adolescence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156800" w:rsidRPr="0030550E">
        <w:rPr>
          <w:rFonts w:ascii="Times New Roman" w:hAnsi="Times New Roman" w:cs="Times New Roman"/>
          <w:sz w:val="24"/>
          <w:szCs w:val="24"/>
        </w:rPr>
        <w:t xml:space="preserve"> due to reduced self-esteem, quality of life</w:t>
      </w:r>
      <w:r w:rsidR="007F3148">
        <w:rPr>
          <w:rFonts w:ascii="Times New Roman" w:hAnsi="Times New Roman" w:cs="Times New Roman"/>
          <w:sz w:val="24"/>
          <w:szCs w:val="24"/>
        </w:rPr>
        <w:t>,</w:t>
      </w:r>
      <w:r w:rsidR="00156800" w:rsidRPr="0030550E">
        <w:rPr>
          <w:rFonts w:ascii="Times New Roman" w:hAnsi="Times New Roman" w:cs="Times New Roman"/>
          <w:sz w:val="24"/>
          <w:szCs w:val="24"/>
        </w:rPr>
        <w:t xml:space="preserve"> and avoidance of social situations</w:t>
      </w:r>
      <w:r w:rsidR="00BD0638" w:rsidRPr="0030550E">
        <w:rPr>
          <w:rFonts w:ascii="Times New Roman" w:hAnsi="Times New Roman" w:cs="Times New Roman"/>
          <w:sz w:val="24"/>
          <w:szCs w:val="24"/>
        </w:rPr>
        <w:t xml:space="preserve">. Some </w:t>
      </w:r>
      <w:r w:rsidR="007F3148">
        <w:rPr>
          <w:rFonts w:ascii="Times New Roman" w:hAnsi="Times New Roman" w:cs="Times New Roman"/>
          <w:sz w:val="24"/>
          <w:szCs w:val="24"/>
        </w:rPr>
        <w:t>cues include stress, boredom, and downtime, which can be associated with comorbid psychiatric conditions in approximately 50% of</w:t>
      </w:r>
      <w:r w:rsidR="00B83950" w:rsidRPr="0030550E">
        <w:rPr>
          <w:rFonts w:ascii="Times New Roman" w:hAnsi="Times New Roman" w:cs="Times New Roman"/>
          <w:sz w:val="24"/>
          <w:szCs w:val="24"/>
        </w:rPr>
        <w:t xml:space="preserve"> patients. </w:t>
      </w:r>
    </w:p>
    <w:p w:rsidR="00D172EF" w:rsidRPr="0030550E" w:rsidRDefault="00B83950" w:rsidP="003055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550E">
        <w:rPr>
          <w:rFonts w:ascii="Times New Roman" w:hAnsi="Times New Roman" w:cs="Times New Roman"/>
          <w:sz w:val="24"/>
          <w:szCs w:val="24"/>
        </w:rPr>
        <w:t xml:space="preserve">Some </w:t>
      </w:r>
      <w:r w:rsidR="000204C0" w:rsidRPr="0030550E">
        <w:rPr>
          <w:rFonts w:ascii="Times New Roman" w:hAnsi="Times New Roman" w:cs="Times New Roman"/>
          <w:sz w:val="24"/>
          <w:szCs w:val="24"/>
        </w:rPr>
        <w:t xml:space="preserve">recommended treatment modalities include </w:t>
      </w:r>
      <w:r w:rsidR="000204C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dialectical behavior therapy and cognitive </w:t>
      </w:r>
      <w:r w:rsidR="00751D4F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behavioral</w:t>
      </w:r>
      <w:r w:rsidR="000204C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approaches. M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="000204C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ndful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ness training assists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 learning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experience urges or negative emotions as they 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occur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allow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them to pass without hair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08011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pulling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atients also learn how to regulate emotion and build 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tolerance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related to distress without pulling. Acceptance and commitment therapy 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help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patients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experience urges to pull and accept them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without acting or pulling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="00D77B76"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França</w:t>
      </w:r>
      <w:proofErr w:type="spellEnd"/>
      <w:r w:rsidR="00D77B76"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D51356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A051B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goal of the therapy is to help patients to understand, feel and experience facts on how to respond to urges or emotion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623145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be in control of hair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623145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pulling. Exposure therapy involves four brief components grounded on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64687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conceptualization that hair pulling is </w:t>
      </w:r>
      <w:r w:rsidR="00FE70B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maintained</w:t>
      </w:r>
      <w:r w:rsidR="0064687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through negative reinforcement</w:t>
      </w:r>
      <w:r w:rsidR="0030550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r w:rsidR="0030550E" w:rsidRPr="0030550E">
        <w:rPr>
          <w:rFonts w:ascii="Times New Roman" w:hAnsi="Times New Roman" w:cs="Times New Roman"/>
          <w:sz w:val="24"/>
          <w:szCs w:val="24"/>
        </w:rPr>
        <w:t>Grant, 2019</w:t>
      </w:r>
      <w:r w:rsidR="0030550E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64687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The patients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can</w:t>
      </w:r>
      <w:r w:rsidR="00646870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learn patterns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generation of hair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pulling hierarchy,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 exposed based on personal hierarchy and aspects of emotion dysregulation. Notably, 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 medications are approved for treating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hair</w:t>
      </w:r>
      <w:r w:rsidR="007F31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pulling </w:t>
      </w:r>
      <w:r w:rsidR="00845528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disorder</w:t>
      </w:r>
      <w:r w:rsidR="00CA2892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A2892" w:rsidRPr="0030550E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</w:t>
      </w:r>
      <w:r w:rsidR="00CA2892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-acetylcysteine (NAC), clomipramine, olanzapine, and dronabinol are recommended pharmacotherapeutic interventions (</w:t>
      </w:r>
      <w:r w:rsidR="0030550E" w:rsidRPr="0030550E">
        <w:rPr>
          <w:rFonts w:ascii="Times New Roman" w:hAnsi="Times New Roman" w:cs="Times New Roman"/>
          <w:sz w:val="24"/>
          <w:szCs w:val="24"/>
        </w:rPr>
        <w:t>Grant, 2019</w:t>
      </w:r>
      <w:r w:rsidR="00CA2892" w:rsidRPr="003055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).</w:t>
      </w:r>
    </w:p>
    <w:p w:rsidR="00D172EF" w:rsidRPr="0030550E" w:rsidRDefault="00FE70B0" w:rsidP="0030550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50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0550E" w:rsidRPr="0030550E" w:rsidRDefault="0030550E" w:rsidP="003055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França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Kumar, A., Castillo, D., </w:t>
      </w: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Jafferany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Hyczy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 Costa </w:t>
      </w: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Neto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Damevska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... &amp; </w:t>
      </w:r>
      <w:proofErr w:type="spellStart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Lotti</w:t>
      </w:r>
      <w:proofErr w:type="spellEnd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(2019). Trichotillomania (hair pulling disorder): clinical characteristics, psychosocial aspects, treatment approaches, and ethical considerations. </w:t>
      </w:r>
      <w:r w:rsidRPr="003055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Dermatologic therapy</w:t>
      </w:r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55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e12622.</w:t>
      </w:r>
      <w:r w:rsidRPr="0030550E">
        <w:t xml:space="preserve"> </w:t>
      </w:r>
      <w:hyperlink r:id="rId4" w:history="1">
        <w:r w:rsidRPr="000300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https://doi.org/10.1111/dth.12622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0550E" w:rsidRPr="0030550E" w:rsidRDefault="0030550E" w:rsidP="0030550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5467210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Grant, J. E. (2019</w:t>
      </w:r>
      <w:bookmarkEnd w:id="1"/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Trichotillomania (hair pulling disorder). </w:t>
      </w:r>
      <w:r w:rsidRPr="003055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0550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S136.</w:t>
      </w:r>
      <w:r w:rsidRPr="0030550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0550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https://doi.org/10.4103%2Fpsychiatry.IndianJPsychiatry_529_18</w:t>
        </w:r>
      </w:hyperlink>
      <w:r w:rsidRPr="00305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0550E" w:rsidRPr="0030550E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MTE2NzM1sDA1NjFW0lEKTi0uzszPAykwrAUAS1TfpiwAAAA="/>
  </w:docVars>
  <w:rsids>
    <w:rsidRoot w:val="001A6ECB"/>
    <w:rsid w:val="000204C0"/>
    <w:rsid w:val="0008011E"/>
    <w:rsid w:val="000A1E7A"/>
    <w:rsid w:val="00156800"/>
    <w:rsid w:val="001A6ECB"/>
    <w:rsid w:val="00304FC9"/>
    <w:rsid w:val="0030550E"/>
    <w:rsid w:val="0038299D"/>
    <w:rsid w:val="00395465"/>
    <w:rsid w:val="003F26D1"/>
    <w:rsid w:val="004F7347"/>
    <w:rsid w:val="005D4CAF"/>
    <w:rsid w:val="005D79FF"/>
    <w:rsid w:val="00623145"/>
    <w:rsid w:val="00646870"/>
    <w:rsid w:val="00751D4F"/>
    <w:rsid w:val="007B68CE"/>
    <w:rsid w:val="007F3148"/>
    <w:rsid w:val="00845528"/>
    <w:rsid w:val="009D57FB"/>
    <w:rsid w:val="00A051BE"/>
    <w:rsid w:val="00A34B3C"/>
    <w:rsid w:val="00B83950"/>
    <w:rsid w:val="00BD0638"/>
    <w:rsid w:val="00C524FA"/>
    <w:rsid w:val="00CA2892"/>
    <w:rsid w:val="00D172EF"/>
    <w:rsid w:val="00D51356"/>
    <w:rsid w:val="00D77B76"/>
    <w:rsid w:val="00F31A60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305"/>
  <w15:chartTrackingRefBased/>
  <w15:docId w15:val="{CC32F04E-24BB-4CC7-AE21-9EE1005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A2892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psychiatry.IndianJPsychiatry_529_18" TargetMode="External"/><Relationship Id="rId4" Type="http://schemas.openxmlformats.org/officeDocument/2006/relationships/hyperlink" Target="https://doi.org/10.1111/dth.1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2023-05-20T03:58:00Z</dcterms:created>
  <dcterms:modified xsi:type="dcterms:W3CDTF">2023-05-20T08:22:00Z</dcterms:modified>
</cp:coreProperties>
</file>