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C2" w:rsidRPr="000C40A3" w:rsidRDefault="009F03DF" w:rsidP="000C40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A3">
        <w:rPr>
          <w:rFonts w:ascii="Times New Roman" w:hAnsi="Times New Roman" w:cs="Times New Roman"/>
          <w:b/>
          <w:sz w:val="24"/>
          <w:szCs w:val="24"/>
        </w:rPr>
        <w:t xml:space="preserve">Week 4 Discussion: </w:t>
      </w:r>
      <w:r w:rsidR="00E516AD" w:rsidRPr="000C40A3">
        <w:rPr>
          <w:rFonts w:ascii="Times New Roman" w:hAnsi="Times New Roman" w:cs="Times New Roman"/>
          <w:b/>
          <w:sz w:val="24"/>
          <w:szCs w:val="24"/>
        </w:rPr>
        <w:t xml:space="preserve">Gastrointestinal Case Study </w:t>
      </w:r>
    </w:p>
    <w:p w:rsidR="000F3207" w:rsidRPr="000C40A3" w:rsidRDefault="009F03DF" w:rsidP="000C40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0A3">
        <w:rPr>
          <w:rFonts w:ascii="Times New Roman" w:hAnsi="Times New Roman" w:cs="Times New Roman"/>
          <w:sz w:val="24"/>
          <w:szCs w:val="24"/>
        </w:rPr>
        <w:t xml:space="preserve">Based on the context and the symptoms, </w:t>
      </w:r>
      <w:r w:rsidR="00D32070">
        <w:rPr>
          <w:rFonts w:ascii="Times New Roman" w:hAnsi="Times New Roman" w:cs="Times New Roman"/>
          <w:sz w:val="24"/>
          <w:szCs w:val="24"/>
        </w:rPr>
        <w:t xml:space="preserve">J.G’s </w:t>
      </w:r>
      <w:r w:rsidRPr="000C40A3">
        <w:rPr>
          <w:rFonts w:ascii="Times New Roman" w:hAnsi="Times New Roman" w:cs="Times New Roman"/>
          <w:sz w:val="24"/>
          <w:szCs w:val="24"/>
        </w:rPr>
        <w:t>most probable diagnosis is peptic ulcer disease</w:t>
      </w:r>
      <w:r w:rsidR="004B7BEB" w:rsidRPr="000C40A3">
        <w:rPr>
          <w:rFonts w:ascii="Times New Roman" w:hAnsi="Times New Roman" w:cs="Times New Roman"/>
          <w:sz w:val="24"/>
          <w:szCs w:val="24"/>
        </w:rPr>
        <w:t xml:space="preserve">, specifically duodenal </w:t>
      </w:r>
      <w:r w:rsidR="005A68E8" w:rsidRPr="000C40A3">
        <w:rPr>
          <w:rFonts w:ascii="Times New Roman" w:hAnsi="Times New Roman" w:cs="Times New Roman"/>
          <w:sz w:val="24"/>
          <w:szCs w:val="24"/>
        </w:rPr>
        <w:t>ulcers</w:t>
      </w:r>
      <w:r w:rsidRPr="000C40A3">
        <w:rPr>
          <w:rFonts w:ascii="Times New Roman" w:hAnsi="Times New Roman" w:cs="Times New Roman"/>
          <w:sz w:val="24"/>
          <w:szCs w:val="24"/>
        </w:rPr>
        <w:t xml:space="preserve">. </w:t>
      </w:r>
      <w:r w:rsidR="000C3361" w:rsidRPr="000C40A3">
        <w:rPr>
          <w:rFonts w:ascii="Times New Roman" w:hAnsi="Times New Roman" w:cs="Times New Roman"/>
          <w:sz w:val="24"/>
          <w:szCs w:val="24"/>
        </w:rPr>
        <w:t>Narayanan et al. (2018) highl</w:t>
      </w:r>
      <w:r w:rsidR="005A68E8" w:rsidRPr="000C40A3">
        <w:rPr>
          <w:rFonts w:ascii="Times New Roman" w:hAnsi="Times New Roman" w:cs="Times New Roman"/>
          <w:sz w:val="24"/>
          <w:szCs w:val="24"/>
        </w:rPr>
        <w:t xml:space="preserve">ight that patients with duodenal ulcers present </w:t>
      </w:r>
      <w:r w:rsidR="00715544" w:rsidRPr="000C40A3">
        <w:rPr>
          <w:rFonts w:ascii="Times New Roman" w:hAnsi="Times New Roman" w:cs="Times New Roman"/>
          <w:sz w:val="24"/>
          <w:szCs w:val="24"/>
        </w:rPr>
        <w:t xml:space="preserve">symptoms like </w:t>
      </w:r>
      <w:r w:rsidR="00AC055F" w:rsidRPr="000C40A3">
        <w:rPr>
          <w:rFonts w:ascii="Times New Roman" w:hAnsi="Times New Roman" w:cs="Times New Roman"/>
          <w:sz w:val="24"/>
          <w:szCs w:val="24"/>
        </w:rPr>
        <w:t xml:space="preserve">worsening abdominal pains </w:t>
      </w:r>
      <w:r w:rsidR="0001193A" w:rsidRPr="000C40A3">
        <w:rPr>
          <w:rFonts w:ascii="Times New Roman" w:hAnsi="Times New Roman" w:cs="Times New Roman"/>
          <w:sz w:val="24"/>
          <w:szCs w:val="24"/>
        </w:rPr>
        <w:t xml:space="preserve">on an empty stomach, experiencing abdominal pains two to three hours after </w:t>
      </w:r>
      <w:r w:rsidR="00F408F4" w:rsidRPr="000C40A3">
        <w:rPr>
          <w:rFonts w:ascii="Times New Roman" w:hAnsi="Times New Roman" w:cs="Times New Roman"/>
          <w:sz w:val="24"/>
          <w:szCs w:val="24"/>
        </w:rPr>
        <w:t xml:space="preserve">meals or at night, post-prandial fullness, or early satiety. These symptoms align with Joshua George's </w:t>
      </w:r>
      <w:r w:rsidR="00B756BE" w:rsidRPr="000C40A3">
        <w:rPr>
          <w:rFonts w:ascii="Times New Roman" w:hAnsi="Times New Roman" w:cs="Times New Roman"/>
          <w:sz w:val="24"/>
          <w:szCs w:val="24"/>
        </w:rPr>
        <w:t xml:space="preserve">symptoms. </w:t>
      </w:r>
      <w:r w:rsidR="00A56F9D" w:rsidRPr="000C40A3">
        <w:rPr>
          <w:rFonts w:ascii="Times New Roman" w:hAnsi="Times New Roman" w:cs="Times New Roman"/>
          <w:sz w:val="24"/>
          <w:szCs w:val="24"/>
        </w:rPr>
        <w:t>Based on the proposal by Woo and Robinson (2020</w:t>
      </w:r>
      <w:r w:rsidR="00921B42" w:rsidRPr="000C40A3">
        <w:rPr>
          <w:rFonts w:ascii="Times New Roman" w:hAnsi="Times New Roman" w:cs="Times New Roman"/>
          <w:sz w:val="24"/>
          <w:szCs w:val="24"/>
        </w:rPr>
        <w:t>, p.1030</w:t>
      </w:r>
      <w:r w:rsidR="00A56F9D" w:rsidRPr="000C40A3">
        <w:rPr>
          <w:rFonts w:ascii="Times New Roman" w:hAnsi="Times New Roman" w:cs="Times New Roman"/>
          <w:sz w:val="24"/>
          <w:szCs w:val="24"/>
        </w:rPr>
        <w:t>)</w:t>
      </w:r>
      <w:r w:rsidR="00921B42" w:rsidRPr="000C40A3">
        <w:rPr>
          <w:rFonts w:ascii="Times New Roman" w:hAnsi="Times New Roman" w:cs="Times New Roman"/>
          <w:sz w:val="24"/>
          <w:szCs w:val="24"/>
        </w:rPr>
        <w:t xml:space="preserve">, </w:t>
      </w:r>
      <w:r w:rsidR="0086246D" w:rsidRPr="000C40A3">
        <w:rPr>
          <w:rFonts w:ascii="Times New Roman" w:hAnsi="Times New Roman" w:cs="Times New Roman"/>
          <w:sz w:val="24"/>
          <w:szCs w:val="24"/>
        </w:rPr>
        <w:t xml:space="preserve">there will be four treatment goals for J.G.'s condition. </w:t>
      </w:r>
      <w:r w:rsidR="00F853A5" w:rsidRPr="000C40A3">
        <w:rPr>
          <w:rFonts w:ascii="Times New Roman" w:hAnsi="Times New Roman" w:cs="Times New Roman"/>
          <w:sz w:val="24"/>
          <w:szCs w:val="24"/>
        </w:rPr>
        <w:t>The primary goal will be to alleviate J.G.'s symptoms, including mid-epigastric pain, and improve his overall comfort and quality of life. Next, the treatment will eradicate the helicob</w:t>
      </w:r>
      <w:r w:rsidR="00DF07BF" w:rsidRPr="000C40A3">
        <w:rPr>
          <w:rFonts w:ascii="Times New Roman" w:hAnsi="Times New Roman" w:cs="Times New Roman"/>
          <w:sz w:val="24"/>
          <w:szCs w:val="24"/>
        </w:rPr>
        <w:t>acter pylori infection bacteria from the stomach and prevent any potential ulcer recurrence</w:t>
      </w:r>
      <w:r w:rsidR="00426ABA" w:rsidRPr="000C40A3">
        <w:rPr>
          <w:rFonts w:ascii="Times New Roman" w:hAnsi="Times New Roman" w:cs="Times New Roman"/>
          <w:sz w:val="24"/>
          <w:szCs w:val="24"/>
        </w:rPr>
        <w:t xml:space="preserve">. The next aim will be to promote ulcer healing and prevent </w:t>
      </w:r>
      <w:r w:rsidR="00C32A22" w:rsidRPr="000C40A3">
        <w:rPr>
          <w:rFonts w:ascii="Times New Roman" w:hAnsi="Times New Roman" w:cs="Times New Roman"/>
          <w:sz w:val="24"/>
          <w:szCs w:val="24"/>
        </w:rPr>
        <w:t xml:space="preserve">further complications like bleeding and </w:t>
      </w:r>
      <w:r w:rsidR="002E6EF8" w:rsidRPr="000C40A3">
        <w:rPr>
          <w:rFonts w:ascii="Times New Roman" w:hAnsi="Times New Roman" w:cs="Times New Roman"/>
          <w:sz w:val="24"/>
          <w:szCs w:val="24"/>
        </w:rPr>
        <w:t xml:space="preserve">perforation. </w:t>
      </w:r>
      <w:r w:rsidR="007B7342" w:rsidRPr="000C40A3">
        <w:rPr>
          <w:rFonts w:ascii="Times New Roman" w:hAnsi="Times New Roman" w:cs="Times New Roman"/>
          <w:sz w:val="24"/>
          <w:szCs w:val="24"/>
        </w:rPr>
        <w:t xml:space="preserve">Lastly, the treatment therapy will aim to reduce the </w:t>
      </w:r>
      <w:r w:rsidR="00DA215E" w:rsidRPr="000C40A3">
        <w:rPr>
          <w:rFonts w:ascii="Times New Roman" w:hAnsi="Times New Roman" w:cs="Times New Roman"/>
          <w:sz w:val="24"/>
          <w:szCs w:val="24"/>
        </w:rPr>
        <w:t xml:space="preserve">recurrence of </w:t>
      </w:r>
      <w:r w:rsidR="00075E90" w:rsidRPr="000C40A3">
        <w:rPr>
          <w:rFonts w:ascii="Times New Roman" w:hAnsi="Times New Roman" w:cs="Times New Roman"/>
          <w:sz w:val="24"/>
          <w:szCs w:val="24"/>
        </w:rPr>
        <w:t xml:space="preserve">duodenal ulcers by </w:t>
      </w:r>
      <w:r w:rsidR="00ED43E7" w:rsidRPr="000C40A3">
        <w:rPr>
          <w:rFonts w:ascii="Times New Roman" w:hAnsi="Times New Roman" w:cs="Times New Roman"/>
          <w:sz w:val="24"/>
          <w:szCs w:val="24"/>
        </w:rPr>
        <w:t xml:space="preserve">taking the appropriate steps </w:t>
      </w:r>
      <w:r w:rsidR="00DA17B2" w:rsidRPr="000C40A3">
        <w:rPr>
          <w:rFonts w:ascii="Times New Roman" w:hAnsi="Times New Roman" w:cs="Times New Roman"/>
          <w:sz w:val="24"/>
          <w:szCs w:val="24"/>
        </w:rPr>
        <w:t xml:space="preserve">to minimize the risk of developing peptic ulcers. </w:t>
      </w:r>
    </w:p>
    <w:p w:rsidR="004621E2" w:rsidRPr="000C40A3" w:rsidRDefault="009F03DF" w:rsidP="000C40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0A3">
        <w:rPr>
          <w:rFonts w:ascii="Times New Roman" w:hAnsi="Times New Roman" w:cs="Times New Roman"/>
          <w:sz w:val="24"/>
          <w:szCs w:val="24"/>
        </w:rPr>
        <w:t>The drug therapy for J.G. peptic ulcer diseas</w:t>
      </w:r>
      <w:r w:rsidR="00CA0029" w:rsidRPr="000C40A3">
        <w:rPr>
          <w:rFonts w:ascii="Times New Roman" w:hAnsi="Times New Roman" w:cs="Times New Roman"/>
          <w:sz w:val="24"/>
          <w:szCs w:val="24"/>
        </w:rPr>
        <w:t xml:space="preserve">e will include a Proton Pump Inhibitor </w:t>
      </w:r>
      <w:r w:rsidR="00461ECC" w:rsidRPr="000C40A3">
        <w:rPr>
          <w:rFonts w:ascii="Times New Roman" w:hAnsi="Times New Roman" w:cs="Times New Roman"/>
          <w:sz w:val="24"/>
          <w:szCs w:val="24"/>
        </w:rPr>
        <w:t>like omeprazole</w:t>
      </w:r>
      <w:r w:rsidR="00DE7AAC" w:rsidRPr="000C40A3">
        <w:rPr>
          <w:rFonts w:ascii="Times New Roman" w:hAnsi="Times New Roman" w:cs="Times New Roman"/>
          <w:sz w:val="24"/>
          <w:szCs w:val="24"/>
        </w:rPr>
        <w:t xml:space="preserve">. </w:t>
      </w:r>
      <w:r w:rsidR="00172B7C" w:rsidRPr="000C40A3">
        <w:rPr>
          <w:rFonts w:ascii="Times New Roman" w:hAnsi="Times New Roman" w:cs="Times New Roman"/>
          <w:sz w:val="24"/>
          <w:szCs w:val="24"/>
        </w:rPr>
        <w:t>Shah &amp;</w:t>
      </w:r>
      <w:r w:rsidR="005B5360" w:rsidRPr="000C40A3">
        <w:rPr>
          <w:rFonts w:ascii="Times New Roman" w:hAnsi="Times New Roman" w:cs="Times New Roman"/>
          <w:sz w:val="24"/>
          <w:szCs w:val="24"/>
        </w:rPr>
        <w:t xml:space="preserve"> Gossman (2023) recommends 20 mg daily f</w:t>
      </w:r>
      <w:r w:rsidR="004A2A1C" w:rsidRPr="000C40A3">
        <w:rPr>
          <w:rFonts w:ascii="Times New Roman" w:hAnsi="Times New Roman" w:cs="Times New Roman"/>
          <w:sz w:val="24"/>
          <w:szCs w:val="24"/>
        </w:rPr>
        <w:t>or 18 days to treat</w:t>
      </w:r>
      <w:r w:rsidR="00C52A79" w:rsidRPr="000C40A3">
        <w:rPr>
          <w:rFonts w:ascii="Times New Roman" w:hAnsi="Times New Roman" w:cs="Times New Roman"/>
          <w:sz w:val="24"/>
          <w:szCs w:val="24"/>
        </w:rPr>
        <w:t xml:space="preserve"> peptic ulcer disease. </w:t>
      </w:r>
      <w:r w:rsidR="00172B7C" w:rsidRPr="000C40A3">
        <w:rPr>
          <w:rFonts w:ascii="Times New Roman" w:hAnsi="Times New Roman" w:cs="Times New Roman"/>
          <w:sz w:val="24"/>
          <w:szCs w:val="24"/>
        </w:rPr>
        <w:t>PPIs inhibit acid production in the stomach to relieve symptoms and promote healing</w:t>
      </w:r>
      <w:r w:rsidR="00AA249C" w:rsidRPr="000C40A3">
        <w:rPr>
          <w:rFonts w:ascii="Times New Roman" w:hAnsi="Times New Roman" w:cs="Times New Roman"/>
          <w:sz w:val="24"/>
          <w:szCs w:val="24"/>
        </w:rPr>
        <w:t xml:space="preserve"> (Malik et al., 2023)</w:t>
      </w:r>
      <w:r w:rsidR="00172B7C" w:rsidRPr="000C40A3">
        <w:rPr>
          <w:rFonts w:ascii="Times New Roman" w:hAnsi="Times New Roman" w:cs="Times New Roman"/>
          <w:sz w:val="24"/>
          <w:szCs w:val="24"/>
        </w:rPr>
        <w:t xml:space="preserve">. Furthermore, the treatment should be accompanied by calcium supplements since PPIs have been shown to increase </w:t>
      </w:r>
      <w:r w:rsidR="00F62DCE" w:rsidRPr="000C40A3">
        <w:rPr>
          <w:rFonts w:ascii="Times New Roman" w:hAnsi="Times New Roman" w:cs="Times New Roman"/>
          <w:sz w:val="24"/>
          <w:szCs w:val="24"/>
        </w:rPr>
        <w:t xml:space="preserve">the risk of bone fractures. </w:t>
      </w:r>
      <w:r w:rsidR="00C96D88" w:rsidRPr="000C40A3">
        <w:rPr>
          <w:rFonts w:ascii="Times New Roman" w:hAnsi="Times New Roman" w:cs="Times New Roman"/>
          <w:sz w:val="24"/>
          <w:szCs w:val="24"/>
        </w:rPr>
        <w:t>The parameters to assess the drug therapy’</w:t>
      </w:r>
      <w:r w:rsidR="00000E59" w:rsidRPr="000C40A3">
        <w:rPr>
          <w:rFonts w:ascii="Times New Roman" w:hAnsi="Times New Roman" w:cs="Times New Roman"/>
          <w:sz w:val="24"/>
          <w:szCs w:val="24"/>
        </w:rPr>
        <w:t>s success wil</w:t>
      </w:r>
      <w:r w:rsidR="00C96D88" w:rsidRPr="000C40A3">
        <w:rPr>
          <w:rFonts w:ascii="Times New Roman" w:hAnsi="Times New Roman" w:cs="Times New Roman"/>
          <w:sz w:val="24"/>
          <w:szCs w:val="24"/>
        </w:rPr>
        <w:t xml:space="preserve">l include assessing whether there is a sign of symptom improvement </w:t>
      </w:r>
      <w:r w:rsidR="00925009" w:rsidRPr="000C40A3">
        <w:rPr>
          <w:rFonts w:ascii="Times New Roman" w:hAnsi="Times New Roman" w:cs="Times New Roman"/>
          <w:sz w:val="24"/>
          <w:szCs w:val="24"/>
        </w:rPr>
        <w:t xml:space="preserve">by regularly assessing J.G.'s mid-epigastric pain and its frequency. Furthermore, an endoscopy can help evaluate the progress of healing of the peptic ulcer, while a test to confirm the eradication of </w:t>
      </w:r>
      <w:r w:rsidR="00DC5829" w:rsidRPr="000C40A3">
        <w:rPr>
          <w:rFonts w:ascii="Times New Roman" w:hAnsi="Times New Roman" w:cs="Times New Roman"/>
          <w:sz w:val="24"/>
          <w:szCs w:val="24"/>
        </w:rPr>
        <w:t>H. Pylori</w:t>
      </w:r>
      <w:r w:rsidR="00925009" w:rsidRPr="000C40A3">
        <w:rPr>
          <w:rFonts w:ascii="Times New Roman" w:hAnsi="Times New Roman" w:cs="Times New Roman"/>
          <w:sz w:val="24"/>
          <w:szCs w:val="24"/>
        </w:rPr>
        <w:t xml:space="preserve"> would be essential to confirm its eradication if it was </w:t>
      </w:r>
      <w:r w:rsidR="00303C62" w:rsidRPr="000C40A3">
        <w:rPr>
          <w:rFonts w:ascii="Times New Roman" w:hAnsi="Times New Roman" w:cs="Times New Roman"/>
          <w:sz w:val="24"/>
          <w:szCs w:val="24"/>
        </w:rPr>
        <w:t xml:space="preserve">first detected. </w:t>
      </w:r>
    </w:p>
    <w:p w:rsidR="002E6A72" w:rsidRPr="000C40A3" w:rsidRDefault="009F03DF" w:rsidP="000C40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0A3">
        <w:rPr>
          <w:rFonts w:ascii="Times New Roman" w:hAnsi="Times New Roman" w:cs="Times New Roman"/>
          <w:sz w:val="24"/>
          <w:szCs w:val="24"/>
        </w:rPr>
        <w:lastRenderedPageBreak/>
        <w:t>J.</w:t>
      </w:r>
      <w:r w:rsidR="00E12826" w:rsidRPr="000C40A3">
        <w:rPr>
          <w:rFonts w:ascii="Times New Roman" w:hAnsi="Times New Roman" w:cs="Times New Roman"/>
          <w:sz w:val="24"/>
          <w:szCs w:val="24"/>
        </w:rPr>
        <w:t>G. will be informed on the rele</w:t>
      </w:r>
      <w:r w:rsidRPr="000C40A3">
        <w:rPr>
          <w:rFonts w:ascii="Times New Roman" w:hAnsi="Times New Roman" w:cs="Times New Roman"/>
          <w:sz w:val="24"/>
          <w:szCs w:val="24"/>
        </w:rPr>
        <w:t xml:space="preserve">vance of avoiding </w:t>
      </w:r>
      <w:r w:rsidR="00E12826" w:rsidRPr="000C40A3">
        <w:rPr>
          <w:rFonts w:ascii="Times New Roman" w:hAnsi="Times New Roman" w:cs="Times New Roman"/>
          <w:sz w:val="24"/>
          <w:szCs w:val="24"/>
        </w:rPr>
        <w:t>nonsteroidal anti-inflammatory drugs</w:t>
      </w:r>
      <w:r w:rsidR="006D3434" w:rsidRPr="000C40A3">
        <w:rPr>
          <w:rFonts w:ascii="Times New Roman" w:hAnsi="Times New Roman" w:cs="Times New Roman"/>
          <w:sz w:val="24"/>
          <w:szCs w:val="24"/>
        </w:rPr>
        <w:t xml:space="preserve"> (NSAID</w:t>
      </w:r>
      <w:r w:rsidR="00517EF2" w:rsidRPr="000C40A3">
        <w:rPr>
          <w:rFonts w:ascii="Times New Roman" w:hAnsi="Times New Roman" w:cs="Times New Roman"/>
          <w:sz w:val="24"/>
          <w:szCs w:val="24"/>
        </w:rPr>
        <w:t xml:space="preserve">s) and avoiding tobacco use. </w:t>
      </w:r>
      <w:r w:rsidR="007B3C88" w:rsidRPr="000C40A3">
        <w:rPr>
          <w:rFonts w:ascii="Times New Roman" w:hAnsi="Times New Roman" w:cs="Times New Roman"/>
          <w:sz w:val="24"/>
          <w:szCs w:val="24"/>
        </w:rPr>
        <w:t>Next, J.G. will be advised of the importance of medication adherence and to take the PPI once a day before breakfast</w:t>
      </w:r>
      <w:r w:rsidR="00C250BC" w:rsidRPr="000C40A3">
        <w:rPr>
          <w:rFonts w:ascii="Times New Roman" w:hAnsi="Times New Roman" w:cs="Times New Roman"/>
          <w:sz w:val="24"/>
          <w:szCs w:val="24"/>
        </w:rPr>
        <w:t xml:space="preserve"> (Malik et al., 2023)</w:t>
      </w:r>
      <w:r w:rsidR="007B3C88" w:rsidRPr="000C40A3">
        <w:rPr>
          <w:rFonts w:ascii="Times New Roman" w:hAnsi="Times New Roman" w:cs="Times New Roman"/>
          <w:sz w:val="24"/>
          <w:szCs w:val="24"/>
        </w:rPr>
        <w:t xml:space="preserve">. </w:t>
      </w:r>
      <w:r w:rsidR="00173AEF" w:rsidRPr="000C40A3">
        <w:rPr>
          <w:rFonts w:ascii="Times New Roman" w:hAnsi="Times New Roman" w:cs="Times New Roman"/>
          <w:sz w:val="24"/>
          <w:szCs w:val="24"/>
        </w:rPr>
        <w:t xml:space="preserve">J.G. will also be advised to take early meals before bedtime, avoid going to bed, and do so after 2-3 hours. </w:t>
      </w:r>
      <w:r w:rsidR="00572A77" w:rsidRPr="000C40A3">
        <w:rPr>
          <w:rFonts w:ascii="Times New Roman" w:hAnsi="Times New Roman" w:cs="Times New Roman"/>
          <w:sz w:val="24"/>
          <w:szCs w:val="24"/>
        </w:rPr>
        <w:t>The adverse effects that would necessitate</w:t>
      </w:r>
      <w:r w:rsidR="0059760E" w:rsidRPr="000C40A3">
        <w:rPr>
          <w:rFonts w:ascii="Times New Roman" w:hAnsi="Times New Roman" w:cs="Times New Roman"/>
          <w:sz w:val="24"/>
          <w:szCs w:val="24"/>
        </w:rPr>
        <w:t xml:space="preserve"> a drug therapy change include allergic reactions evidenced by rashes, itching, swelling, and challenges in breathing or gastrointestinal symptoms like </w:t>
      </w:r>
      <w:r w:rsidR="00BF79D9" w:rsidRPr="000C40A3">
        <w:rPr>
          <w:rFonts w:ascii="Times New Roman" w:hAnsi="Times New Roman" w:cs="Times New Roman"/>
          <w:sz w:val="24"/>
          <w:szCs w:val="24"/>
        </w:rPr>
        <w:t xml:space="preserve">abdominal pains, flatulence, </w:t>
      </w:r>
      <w:r w:rsidR="001C29AA" w:rsidRPr="000C40A3">
        <w:rPr>
          <w:rFonts w:ascii="Times New Roman" w:hAnsi="Times New Roman" w:cs="Times New Roman"/>
          <w:sz w:val="24"/>
          <w:szCs w:val="24"/>
        </w:rPr>
        <w:t>diarrh</w:t>
      </w:r>
      <w:r w:rsidR="00BF79D9" w:rsidRPr="000C40A3">
        <w:rPr>
          <w:rFonts w:ascii="Times New Roman" w:hAnsi="Times New Roman" w:cs="Times New Roman"/>
          <w:sz w:val="24"/>
          <w:szCs w:val="24"/>
        </w:rPr>
        <w:t>ea, and constipation</w:t>
      </w:r>
      <w:r w:rsidR="001C29AA" w:rsidRPr="000C40A3">
        <w:rPr>
          <w:rFonts w:ascii="Times New Roman" w:hAnsi="Times New Roman" w:cs="Times New Roman"/>
          <w:sz w:val="24"/>
          <w:szCs w:val="24"/>
        </w:rPr>
        <w:t xml:space="preserve"> (Yiobirin et al., 2021)</w:t>
      </w:r>
      <w:r w:rsidR="00BF79D9" w:rsidRPr="000C40A3">
        <w:rPr>
          <w:rFonts w:ascii="Times New Roman" w:hAnsi="Times New Roman" w:cs="Times New Roman"/>
          <w:sz w:val="24"/>
          <w:szCs w:val="24"/>
        </w:rPr>
        <w:t>.</w:t>
      </w:r>
      <w:r w:rsidR="00947553" w:rsidRPr="000C40A3">
        <w:rPr>
          <w:rFonts w:ascii="Times New Roman" w:hAnsi="Times New Roman" w:cs="Times New Roman"/>
          <w:sz w:val="24"/>
          <w:szCs w:val="24"/>
        </w:rPr>
        <w:t xml:space="preserve"> A second-line therapy </w:t>
      </w:r>
      <w:r w:rsidR="00506F54" w:rsidRPr="000C40A3">
        <w:rPr>
          <w:rFonts w:ascii="Times New Roman" w:hAnsi="Times New Roman" w:cs="Times New Roman"/>
          <w:sz w:val="24"/>
          <w:szCs w:val="24"/>
        </w:rPr>
        <w:t>would include a combination of two antibiotics and a different PPI, like pantoprazole</w:t>
      </w:r>
      <w:r w:rsidR="00990CD9" w:rsidRPr="000C40A3">
        <w:rPr>
          <w:rFonts w:ascii="Times New Roman" w:hAnsi="Times New Roman" w:cs="Times New Roman"/>
          <w:sz w:val="24"/>
          <w:szCs w:val="24"/>
        </w:rPr>
        <w:t xml:space="preserve"> (</w:t>
      </w:r>
      <w:r w:rsidR="000D74BD" w:rsidRPr="000C40A3">
        <w:rPr>
          <w:rFonts w:ascii="Times New Roman" w:hAnsi="Times New Roman" w:cs="Times New Roman"/>
          <w:sz w:val="24"/>
          <w:szCs w:val="24"/>
        </w:rPr>
        <w:t>Shah  &amp;</w:t>
      </w:r>
      <w:r w:rsidR="00990CD9" w:rsidRPr="000C40A3">
        <w:rPr>
          <w:rFonts w:ascii="Times New Roman" w:hAnsi="Times New Roman" w:cs="Times New Roman"/>
          <w:sz w:val="24"/>
          <w:szCs w:val="24"/>
        </w:rPr>
        <w:t xml:space="preserve"> Gossman, 2021)</w:t>
      </w:r>
      <w:r w:rsidR="00506F54" w:rsidRPr="000C40A3">
        <w:rPr>
          <w:rFonts w:ascii="Times New Roman" w:hAnsi="Times New Roman" w:cs="Times New Roman"/>
          <w:sz w:val="24"/>
          <w:szCs w:val="24"/>
        </w:rPr>
        <w:t xml:space="preserve">. </w:t>
      </w:r>
      <w:r w:rsidR="00C552DB" w:rsidRPr="000C40A3">
        <w:rPr>
          <w:rFonts w:ascii="Times New Roman" w:hAnsi="Times New Roman" w:cs="Times New Roman"/>
          <w:sz w:val="24"/>
          <w:szCs w:val="24"/>
        </w:rPr>
        <w:t>Examples of over-the-counter drugs that can help relieve J.G. symptoms include calcium carbonate or aluminum</w:t>
      </w:r>
      <w:r w:rsidR="000D74BD" w:rsidRPr="000C40A3">
        <w:rPr>
          <w:rFonts w:ascii="Times New Roman" w:hAnsi="Times New Roman" w:cs="Times New Roman"/>
          <w:sz w:val="24"/>
          <w:szCs w:val="24"/>
        </w:rPr>
        <w:t xml:space="preserve"> hydroxide. As part of lifestyle modification, J.G. will be advised to</w:t>
      </w:r>
      <w:r w:rsidR="006D30E5" w:rsidRPr="000C40A3">
        <w:rPr>
          <w:rFonts w:ascii="Times New Roman" w:hAnsi="Times New Roman" w:cs="Times New Roman"/>
          <w:sz w:val="24"/>
          <w:szCs w:val="24"/>
        </w:rPr>
        <w:t xml:space="preserve"> quit smoking because it can delay the healing process and cause complications, avoid spicy foods, alcoholic and alcoholic beverages, and participate in activities for stress reduction. </w:t>
      </w:r>
      <w:r w:rsidR="00CE4CD5" w:rsidRPr="000C40A3">
        <w:rPr>
          <w:rFonts w:ascii="Times New Roman" w:hAnsi="Times New Roman" w:cs="Times New Roman"/>
          <w:sz w:val="24"/>
          <w:szCs w:val="24"/>
        </w:rPr>
        <w:t xml:space="preserve">One of the drug-food interactions of PPI use, such as omeprazole, is that it interferes with the absorption of nutrients like vitamin B12, iron, </w:t>
      </w:r>
      <w:r w:rsidR="00577A67" w:rsidRPr="000C40A3">
        <w:rPr>
          <w:rFonts w:ascii="Times New Roman" w:hAnsi="Times New Roman" w:cs="Times New Roman"/>
          <w:sz w:val="24"/>
          <w:szCs w:val="24"/>
        </w:rPr>
        <w:t>magnesium</w:t>
      </w:r>
      <w:r w:rsidR="00CE4CD5" w:rsidRPr="000C40A3">
        <w:rPr>
          <w:rFonts w:ascii="Times New Roman" w:hAnsi="Times New Roman" w:cs="Times New Roman"/>
          <w:sz w:val="24"/>
          <w:szCs w:val="24"/>
        </w:rPr>
        <w:t>, and calcium</w:t>
      </w:r>
      <w:r w:rsidR="002A18A7" w:rsidRPr="000C40A3">
        <w:rPr>
          <w:rFonts w:ascii="Times New Roman" w:hAnsi="Times New Roman" w:cs="Times New Roman"/>
          <w:sz w:val="24"/>
          <w:szCs w:val="24"/>
        </w:rPr>
        <w:t xml:space="preserve"> (Tran-D</w:t>
      </w:r>
      <w:r w:rsidR="00577A67" w:rsidRPr="000C40A3">
        <w:rPr>
          <w:rFonts w:ascii="Times New Roman" w:hAnsi="Times New Roman" w:cs="Times New Roman"/>
          <w:sz w:val="24"/>
          <w:szCs w:val="24"/>
        </w:rPr>
        <w:t>uy, 2018)</w:t>
      </w:r>
      <w:r w:rsidR="00CE4CD5" w:rsidRPr="000C4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75F" w:rsidRPr="000C40A3" w:rsidRDefault="009F03DF" w:rsidP="000C40A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40A3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6970DE" w:rsidRPr="000C40A3" w:rsidRDefault="009F03DF" w:rsidP="000C40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A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 xml:space="preserve">Malik, T. F., &amp; Singh, K. (2023, February 12). </w:t>
      </w:r>
      <w:r w:rsidRPr="000C40A3">
        <w:rPr>
          <w:i/>
          <w:iCs/>
        </w:rPr>
        <w:t>Peptic Ul</w:t>
      </w:r>
      <w:r w:rsidRPr="000C40A3">
        <w:rPr>
          <w:i/>
          <w:iCs/>
        </w:rPr>
        <w:t>cer Disease</w:t>
      </w:r>
      <w:r w:rsidRPr="000C40A3">
        <w:t>. Nih.gov; StatPearls Publishing. https://www.ncbi.nlm.nih.gov/books/NBK534792/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 xml:space="preserve">Narayanan, M., Reddy, K. M., &amp; Marsicano, E. (2018). Peptic Ulcer Disease and Helicobacter Pylori Infection. </w:t>
      </w:r>
      <w:r w:rsidRPr="000C40A3">
        <w:rPr>
          <w:i/>
          <w:iCs/>
        </w:rPr>
        <w:t>Missouri Medicine</w:t>
      </w:r>
      <w:r w:rsidRPr="000C40A3">
        <w:t xml:space="preserve">, </w:t>
      </w:r>
      <w:r w:rsidRPr="000C40A3">
        <w:rPr>
          <w:i/>
          <w:iCs/>
        </w:rPr>
        <w:t>115</w:t>
      </w:r>
      <w:r w:rsidRPr="000C40A3">
        <w:t>(3), 219–224. https://www.ncbi.nlm</w:t>
      </w:r>
      <w:r w:rsidRPr="000C40A3">
        <w:t>.nih.gov/pmc/articles/PMC6140150/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 xml:space="preserve">Shah, N., &amp; Srivastava, P. (2019, May 6). </w:t>
      </w:r>
      <w:r w:rsidRPr="000C40A3">
        <w:rPr>
          <w:i/>
          <w:iCs/>
        </w:rPr>
        <w:t>Omeprazole</w:t>
      </w:r>
      <w:r w:rsidRPr="000C40A3">
        <w:t>. Nih.gov; StatPearls Publishing. https://www.ncbi.nlm.nih.gov/books/NBK539786/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>Tran-Duy, A., Connell, N. J., Vanmolkot, F. H., Souverein, P. C., de Wit, N. J., Stehouwer</w:t>
      </w:r>
      <w:r w:rsidRPr="000C40A3">
        <w:t xml:space="preserve">, C. D. A., Hoes, A. W., de Vries, F., &amp; de Boer, A. (2018). Use of proton pump inhibitors and risk of iron deficiency: a population-based case-control study. </w:t>
      </w:r>
      <w:r w:rsidRPr="000C40A3">
        <w:rPr>
          <w:i/>
          <w:iCs/>
        </w:rPr>
        <w:t>Journal of Internal Medicine</w:t>
      </w:r>
      <w:r w:rsidRPr="000C40A3">
        <w:t xml:space="preserve">, </w:t>
      </w:r>
      <w:r w:rsidRPr="000C40A3">
        <w:rPr>
          <w:i/>
          <w:iCs/>
        </w:rPr>
        <w:t>285</w:t>
      </w:r>
      <w:r w:rsidRPr="000C40A3">
        <w:t>(2), 205–214. https://doi.org/10.1111/joim.12826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>Woo, T. M., &amp; R</w:t>
      </w:r>
      <w:r w:rsidRPr="000C40A3">
        <w:t xml:space="preserve">obinson, M. V. (2020). </w:t>
      </w:r>
      <w:r w:rsidRPr="000C40A3">
        <w:rPr>
          <w:i/>
          <w:iCs/>
        </w:rPr>
        <w:t>Pharmacotherapeutics for advanced practice nurse prescribers</w:t>
      </w:r>
      <w:r w:rsidRPr="000C40A3">
        <w:t xml:space="preserve"> (5th ed.). F.A. Davis Company.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 xml:space="preserve">Yegen, B. C. (2018). Lifestyle and Peptic Ulcer Disease. </w:t>
      </w:r>
      <w:r w:rsidRPr="000C40A3">
        <w:rPr>
          <w:i/>
          <w:iCs/>
        </w:rPr>
        <w:t>Current Pharmaceutical Design</w:t>
      </w:r>
      <w:r w:rsidRPr="000C40A3">
        <w:t xml:space="preserve">, </w:t>
      </w:r>
      <w:r w:rsidRPr="000C40A3">
        <w:rPr>
          <w:i/>
          <w:iCs/>
        </w:rPr>
        <w:t>24</w:t>
      </w:r>
      <w:r w:rsidRPr="000C40A3">
        <w:t>(18), 2034–2040. https://doi.org/10.2174/1381612824</w:t>
      </w:r>
      <w:r w:rsidRPr="000C40A3">
        <w:t>666180510092303</w:t>
      </w:r>
    </w:p>
    <w:p w:rsidR="00B91A12" w:rsidRPr="000C40A3" w:rsidRDefault="009F03DF" w:rsidP="000C40A3">
      <w:pPr>
        <w:pStyle w:val="NormalWeb"/>
        <w:spacing w:before="0" w:beforeAutospacing="0" w:after="0" w:afterAutospacing="0" w:line="480" w:lineRule="auto"/>
        <w:ind w:left="720" w:hanging="720"/>
      </w:pPr>
      <w:r w:rsidRPr="000C40A3">
        <w:t xml:space="preserve">Yibirin, M., De Oliveira, D., Valera, R., Plitt, A. E., &amp; Lutgen, S. (2021). Adverse Effects Associated with Proton Pump Inhibitor Use. </w:t>
      </w:r>
      <w:r w:rsidRPr="000C40A3">
        <w:rPr>
          <w:i/>
          <w:iCs/>
        </w:rPr>
        <w:t>Cureus</w:t>
      </w:r>
      <w:r w:rsidRPr="000C40A3">
        <w:t xml:space="preserve">, </w:t>
      </w:r>
      <w:r w:rsidRPr="000C40A3">
        <w:rPr>
          <w:i/>
          <w:iCs/>
        </w:rPr>
        <w:t>13</w:t>
      </w:r>
      <w:r w:rsidRPr="000C40A3">
        <w:t>(1). https://doi.org/10.7759/cureus.12759</w:t>
      </w:r>
    </w:p>
    <w:p w:rsidR="002C0D05" w:rsidRPr="000C40A3" w:rsidRDefault="002C0D05" w:rsidP="000C40A3">
      <w:pPr>
        <w:pStyle w:val="NormalWeb"/>
        <w:spacing w:before="0" w:beforeAutospacing="0" w:after="0" w:afterAutospacing="0" w:line="480" w:lineRule="auto"/>
        <w:ind w:left="720" w:hanging="720"/>
      </w:pPr>
    </w:p>
    <w:p w:rsidR="00557101" w:rsidRPr="006970DE" w:rsidRDefault="00557101" w:rsidP="00557101">
      <w:pPr>
        <w:rPr>
          <w:b/>
        </w:rPr>
      </w:pPr>
    </w:p>
    <w:sectPr w:rsidR="00557101" w:rsidRPr="006970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DF" w:rsidRDefault="009F03DF">
      <w:pPr>
        <w:spacing w:after="0" w:line="240" w:lineRule="auto"/>
      </w:pPr>
      <w:r>
        <w:separator/>
      </w:r>
    </w:p>
  </w:endnote>
  <w:endnote w:type="continuationSeparator" w:id="0">
    <w:p w:rsidR="009F03DF" w:rsidRDefault="009F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DF" w:rsidRDefault="009F03DF">
      <w:pPr>
        <w:spacing w:after="0" w:line="240" w:lineRule="auto"/>
      </w:pPr>
      <w:r>
        <w:separator/>
      </w:r>
    </w:p>
  </w:footnote>
  <w:footnote w:type="continuationSeparator" w:id="0">
    <w:p w:rsidR="009F03DF" w:rsidRDefault="009F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092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0A3" w:rsidRPr="000C40A3" w:rsidRDefault="009F03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40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40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40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20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40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40A3" w:rsidRDefault="000C4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95"/>
    <w:rsid w:val="00000E59"/>
    <w:rsid w:val="0001193A"/>
    <w:rsid w:val="00075E90"/>
    <w:rsid w:val="000C3361"/>
    <w:rsid w:val="000C40A3"/>
    <w:rsid w:val="000D74BD"/>
    <w:rsid w:val="000F3207"/>
    <w:rsid w:val="00172B7C"/>
    <w:rsid w:val="00173AEF"/>
    <w:rsid w:val="001C29AA"/>
    <w:rsid w:val="00293D95"/>
    <w:rsid w:val="002A18A7"/>
    <w:rsid w:val="002C0D05"/>
    <w:rsid w:val="002C553A"/>
    <w:rsid w:val="002E29A1"/>
    <w:rsid w:val="002E6A72"/>
    <w:rsid w:val="002E6EF8"/>
    <w:rsid w:val="00303C62"/>
    <w:rsid w:val="00334D8C"/>
    <w:rsid w:val="00426ABA"/>
    <w:rsid w:val="00461ECC"/>
    <w:rsid w:val="004621E2"/>
    <w:rsid w:val="004A2A1C"/>
    <w:rsid w:val="004B7BEB"/>
    <w:rsid w:val="004F0D07"/>
    <w:rsid w:val="00506F54"/>
    <w:rsid w:val="00517EF2"/>
    <w:rsid w:val="00557101"/>
    <w:rsid w:val="00572A77"/>
    <w:rsid w:val="00577A67"/>
    <w:rsid w:val="0059760E"/>
    <w:rsid w:val="005A68E8"/>
    <w:rsid w:val="005B5360"/>
    <w:rsid w:val="006970DE"/>
    <w:rsid w:val="006D30E5"/>
    <w:rsid w:val="006D3434"/>
    <w:rsid w:val="00715544"/>
    <w:rsid w:val="007450C2"/>
    <w:rsid w:val="007B3197"/>
    <w:rsid w:val="007B3C88"/>
    <w:rsid w:val="007B7342"/>
    <w:rsid w:val="0086246D"/>
    <w:rsid w:val="00921B42"/>
    <w:rsid w:val="00925009"/>
    <w:rsid w:val="00947553"/>
    <w:rsid w:val="00990CD9"/>
    <w:rsid w:val="009A175F"/>
    <w:rsid w:val="009F03DF"/>
    <w:rsid w:val="00A56F9D"/>
    <w:rsid w:val="00AA249C"/>
    <w:rsid w:val="00AC055F"/>
    <w:rsid w:val="00B756BE"/>
    <w:rsid w:val="00B91A12"/>
    <w:rsid w:val="00BF79D9"/>
    <w:rsid w:val="00C250BC"/>
    <w:rsid w:val="00C32A22"/>
    <w:rsid w:val="00C52A79"/>
    <w:rsid w:val="00C552DB"/>
    <w:rsid w:val="00C96D88"/>
    <w:rsid w:val="00CA0029"/>
    <w:rsid w:val="00CE4CD5"/>
    <w:rsid w:val="00D32070"/>
    <w:rsid w:val="00DA17B2"/>
    <w:rsid w:val="00DA215E"/>
    <w:rsid w:val="00DC5829"/>
    <w:rsid w:val="00DE7AAC"/>
    <w:rsid w:val="00DF07BF"/>
    <w:rsid w:val="00E12826"/>
    <w:rsid w:val="00E516AD"/>
    <w:rsid w:val="00EC2BC6"/>
    <w:rsid w:val="00ED43E7"/>
    <w:rsid w:val="00F408F4"/>
    <w:rsid w:val="00F62DCE"/>
    <w:rsid w:val="00F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0596"/>
  <w15:chartTrackingRefBased/>
  <w15:docId w15:val="{54275083-AA74-4756-A96E-FF077F6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4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A3"/>
  </w:style>
  <w:style w:type="paragraph" w:styleId="Footer">
    <w:name w:val="footer"/>
    <w:basedOn w:val="Normal"/>
    <w:link w:val="FooterChar"/>
    <w:uiPriority w:val="99"/>
    <w:unhideWhenUsed/>
    <w:rsid w:val="000C4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75</cp:revision>
  <dcterms:created xsi:type="dcterms:W3CDTF">2023-05-24T04:31:00Z</dcterms:created>
  <dcterms:modified xsi:type="dcterms:W3CDTF">2023-05-24T06:08:00Z</dcterms:modified>
</cp:coreProperties>
</file>