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F5D" w:rsidRPr="00713F5D" w:rsidRDefault="00713F5D" w:rsidP="00713F5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 2: Clinical Information Systems</w:t>
      </w:r>
      <w:bookmarkStart w:id="0" w:name="_GoBack"/>
      <w:bookmarkEnd w:id="0"/>
    </w:p>
    <w:p w:rsidR="00A67188" w:rsidRDefault="00C7003B" w:rsidP="00C7003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D266F">
        <w:rPr>
          <w:rFonts w:ascii="Times New Roman" w:hAnsi="Times New Roman" w:cs="Times New Roman"/>
          <w:sz w:val="24"/>
          <w:szCs w:val="24"/>
        </w:rPr>
        <w:t xml:space="preserve">With technology becoming a norm across all facets of life, the healthcare system has also experienced a rapid integration of diverse technologies. </w:t>
      </w:r>
      <w:r w:rsidR="00A643F6">
        <w:rPr>
          <w:rFonts w:ascii="Times New Roman" w:hAnsi="Times New Roman" w:cs="Times New Roman"/>
          <w:sz w:val="24"/>
          <w:szCs w:val="24"/>
        </w:rPr>
        <w:t>Electronic health records (EHR</w:t>
      </w:r>
      <w:r w:rsidR="00CC7B0F">
        <w:rPr>
          <w:rFonts w:ascii="Times New Roman" w:hAnsi="Times New Roman" w:cs="Times New Roman"/>
          <w:sz w:val="24"/>
          <w:szCs w:val="24"/>
        </w:rPr>
        <w:t>s</w:t>
      </w:r>
      <w:r w:rsidR="00A643F6">
        <w:rPr>
          <w:rFonts w:ascii="Times New Roman" w:hAnsi="Times New Roman" w:cs="Times New Roman"/>
          <w:sz w:val="24"/>
          <w:szCs w:val="24"/>
        </w:rPr>
        <w:t>)</w:t>
      </w:r>
      <w:r w:rsidR="00CC7B0F">
        <w:rPr>
          <w:rFonts w:ascii="Times New Roman" w:hAnsi="Times New Roman" w:cs="Times New Roman"/>
          <w:sz w:val="24"/>
          <w:szCs w:val="24"/>
        </w:rPr>
        <w:t xml:space="preserve"> among the most widely adopted technology across healthcare settings. The adoption of EHR is associated with improved efficiency, quality, and safety of care</w:t>
      </w:r>
      <w:r w:rsidR="004B51B6">
        <w:rPr>
          <w:rFonts w:ascii="Times New Roman" w:hAnsi="Times New Roman" w:cs="Times New Roman"/>
          <w:sz w:val="24"/>
          <w:szCs w:val="24"/>
        </w:rPr>
        <w:t xml:space="preserve"> and enhanced workflows and productivity</w:t>
      </w:r>
      <w:r w:rsidR="00CC7B0F">
        <w:rPr>
          <w:rFonts w:ascii="Times New Roman" w:hAnsi="Times New Roman" w:cs="Times New Roman"/>
          <w:sz w:val="24"/>
          <w:szCs w:val="24"/>
        </w:rPr>
        <w:t xml:space="preserve"> (</w:t>
      </w:r>
      <w:r w:rsidR="00713F5D">
        <w:rPr>
          <w:rFonts w:ascii="Times New Roman" w:hAnsi="Times New Roman" w:cs="Times New Roman"/>
          <w:sz w:val="24"/>
          <w:szCs w:val="24"/>
        </w:rPr>
        <w:t>Aguire et al., 2019; Vos et al., 2020</w:t>
      </w:r>
      <w:r w:rsidR="004B51B6">
        <w:rPr>
          <w:rFonts w:ascii="Times New Roman" w:hAnsi="Times New Roman" w:cs="Times New Roman"/>
          <w:sz w:val="24"/>
          <w:szCs w:val="24"/>
        </w:rPr>
        <w:t xml:space="preserve">). Healthcare organizations can choose from a range of </w:t>
      </w:r>
      <w:r w:rsidR="00463553">
        <w:rPr>
          <w:rFonts w:ascii="Times New Roman" w:hAnsi="Times New Roman" w:cs="Times New Roman"/>
          <w:sz w:val="24"/>
          <w:szCs w:val="24"/>
        </w:rPr>
        <w:t xml:space="preserve">EHR software available in the market. In this regard, this discussion compares </w:t>
      </w:r>
      <w:r w:rsidR="002F3CB3">
        <w:rPr>
          <w:rFonts w:ascii="Times New Roman" w:hAnsi="Times New Roman" w:cs="Times New Roman"/>
          <w:sz w:val="24"/>
          <w:szCs w:val="24"/>
        </w:rPr>
        <w:t xml:space="preserve">and contrasts the </w:t>
      </w:r>
      <w:r w:rsidR="00463553">
        <w:rPr>
          <w:rFonts w:ascii="Times New Roman" w:hAnsi="Times New Roman" w:cs="Times New Roman"/>
          <w:sz w:val="24"/>
          <w:szCs w:val="24"/>
        </w:rPr>
        <w:t xml:space="preserve">Epic and Cerner EHR </w:t>
      </w:r>
      <w:r w:rsidR="002F3CB3">
        <w:rPr>
          <w:rFonts w:ascii="Times New Roman" w:hAnsi="Times New Roman" w:cs="Times New Roman"/>
          <w:sz w:val="24"/>
          <w:szCs w:val="24"/>
        </w:rPr>
        <w:t xml:space="preserve">software solutions and identifies the most suitable for my workplace. </w:t>
      </w:r>
    </w:p>
    <w:p w:rsidR="002F3CB3" w:rsidRDefault="002F3CB3" w:rsidP="00C7003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Epic and Cerner solution have different capabilities. For example, both solutions includes interoperability features that allow clinicians to exchange patient information seamlessly with other systems. While both solutions support HL7 and FHIR interoperability standards, Cerner’s interoperability capabilities depend significantly on the specific implementation. In addition, Epic and Cerner provide tools for clinical decision support, albeit with different capabilities. For instance, EPIC has a robust clinical decision support system that offers alerts and recommendations to clinicians based on patient data. On the other hand, Cerner allows members to exchange data with participating organizations at real-time. </w:t>
      </w:r>
    </w:p>
    <w:p w:rsidR="00EA471A" w:rsidRDefault="00EA471A" w:rsidP="00C7003B">
      <w:pPr>
        <w:spacing w:after="0" w:line="480" w:lineRule="auto"/>
        <w:rPr>
          <w:rFonts w:ascii="Times New Roman" w:hAnsi="Times New Roman" w:cs="Times New Roman"/>
          <w:sz w:val="24"/>
          <w:szCs w:val="24"/>
        </w:rPr>
      </w:pPr>
      <w:r>
        <w:rPr>
          <w:rFonts w:ascii="Times New Roman" w:hAnsi="Times New Roman" w:cs="Times New Roman"/>
          <w:sz w:val="24"/>
          <w:szCs w:val="24"/>
        </w:rPr>
        <w:tab/>
        <w:t>Each of the systems</w:t>
      </w:r>
      <w:r w:rsidR="00CE0735">
        <w:rPr>
          <w:rFonts w:ascii="Times New Roman" w:hAnsi="Times New Roman" w:cs="Times New Roman"/>
          <w:sz w:val="24"/>
          <w:szCs w:val="24"/>
        </w:rPr>
        <w:t xml:space="preserve"> come with their unique benefits that suit different health care settings. </w:t>
      </w:r>
      <w:r w:rsidR="00713F5D">
        <w:rPr>
          <w:rFonts w:ascii="Times New Roman" w:hAnsi="Times New Roman" w:cs="Times New Roman"/>
          <w:sz w:val="24"/>
          <w:szCs w:val="24"/>
        </w:rPr>
        <w:t xml:space="preserve">Epic has almost a 10-fold price difference with agile solutions sch as Cerner (Shull, 2019). </w:t>
      </w:r>
      <w:r w:rsidR="00CE0735">
        <w:rPr>
          <w:rFonts w:ascii="Times New Roman" w:hAnsi="Times New Roman" w:cs="Times New Roman"/>
          <w:sz w:val="24"/>
          <w:szCs w:val="24"/>
        </w:rPr>
        <w:t xml:space="preserve">The Epic system excels in terms of sharing patient data across systems because of strong interoperability. In addition, </w:t>
      </w:r>
      <w:r w:rsidR="00355473">
        <w:rPr>
          <w:rFonts w:ascii="Times New Roman" w:hAnsi="Times New Roman" w:cs="Times New Roman"/>
          <w:sz w:val="24"/>
          <w:szCs w:val="24"/>
        </w:rPr>
        <w:t xml:space="preserve">Epic offers an extensive clinical decision support system that would help clinicians in </w:t>
      </w:r>
      <w:r w:rsidR="00BD7C5E">
        <w:rPr>
          <w:rFonts w:ascii="Times New Roman" w:hAnsi="Times New Roman" w:cs="Times New Roman"/>
          <w:sz w:val="24"/>
          <w:szCs w:val="24"/>
        </w:rPr>
        <w:t xml:space="preserve">making decisions that are more informed. </w:t>
      </w:r>
      <w:r w:rsidR="00355473">
        <w:rPr>
          <w:rFonts w:ascii="Times New Roman" w:hAnsi="Times New Roman" w:cs="Times New Roman"/>
          <w:sz w:val="24"/>
          <w:szCs w:val="24"/>
        </w:rPr>
        <w:t xml:space="preserve">Telehealth integration in the Epic system could also be beneficial across settings, including mental health where telemedicine </w:t>
      </w:r>
      <w:r w:rsidR="00355473">
        <w:rPr>
          <w:rFonts w:ascii="Times New Roman" w:hAnsi="Times New Roman" w:cs="Times New Roman"/>
          <w:sz w:val="24"/>
          <w:szCs w:val="24"/>
        </w:rPr>
        <w:lastRenderedPageBreak/>
        <w:t xml:space="preserve">services are becoming critical. </w:t>
      </w:r>
      <w:r w:rsidR="00BD7C5E">
        <w:rPr>
          <w:rFonts w:ascii="Times New Roman" w:hAnsi="Times New Roman" w:cs="Times New Roman"/>
          <w:sz w:val="24"/>
          <w:szCs w:val="24"/>
        </w:rPr>
        <w:t xml:space="preserve">Conversely, Cerner comes with </w:t>
      </w:r>
      <w:r w:rsidR="002C337D">
        <w:rPr>
          <w:rFonts w:ascii="Times New Roman" w:hAnsi="Times New Roman" w:cs="Times New Roman"/>
          <w:sz w:val="24"/>
          <w:szCs w:val="24"/>
        </w:rPr>
        <w:t>capabilities for population health management essential to monitoring and managing health at the population level. Secondly, the solution includes mobile access, which enhances its productivity and flexibility by permitting access to EHR data from mobile devices</w:t>
      </w:r>
      <w:r w:rsidR="00F53120">
        <w:rPr>
          <w:rFonts w:ascii="Times New Roman" w:hAnsi="Times New Roman" w:cs="Times New Roman"/>
          <w:sz w:val="24"/>
          <w:szCs w:val="24"/>
        </w:rPr>
        <w:t>. Finally, Cerner includes customized features for behavioral health integration.</w:t>
      </w:r>
    </w:p>
    <w:p w:rsidR="00F53120" w:rsidRDefault="00F53120" w:rsidP="00C7003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choice between Epic and Cerner depends significantly on the workplace-specific needs. In this regard, the Cerner system would be a better choice for </w:t>
      </w:r>
      <w:r w:rsidR="00713F5D">
        <w:rPr>
          <w:rFonts w:ascii="Times New Roman" w:hAnsi="Times New Roman" w:cs="Times New Roman"/>
          <w:sz w:val="24"/>
          <w:szCs w:val="24"/>
        </w:rPr>
        <w:t xml:space="preserve">my workplace environment in mental health nursing. While Epic performs better across several areas, it does not have specific features for mental health settings (Ani et al., 2022; Shull, 2019). Conversely, the Cerner system has tailored features for mental health settings, including customizable templates for treatment plans and progress notes. The behavioral health integration enhances efficiency and effectiveness in the management of patients with mental health problems. Secondly, Cerner’s features for population health management would allow the consideration of population aspects in the management of mental health problems. Specifically, this would help clinicians in the identification of trends, preventive measures, and improvement of overall population health outcomes. Thirdly, Cerner has specific features for mobile integration, third-party integration, and capabilities for patient access, case management, and health information management (Shaw et al., 2020). The mobile access features would offer flexibility and ability to access patient information and document care on the go, which would significantly benefit the dynamic mental health environment. </w:t>
      </w:r>
    </w:p>
    <w:p w:rsidR="00713F5D" w:rsidRDefault="00713F5D" w:rsidP="00C7003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Overall, technology has become an integral part of life, including the healthcare system. EHRs have become among the most common systems that hospitals adopt today. The discussion compared the Epic and Cerner software solutions. While Epic has its benefits, Cerner’s </w:t>
      </w:r>
      <w:r>
        <w:rPr>
          <w:rFonts w:ascii="Times New Roman" w:hAnsi="Times New Roman" w:cs="Times New Roman"/>
          <w:sz w:val="24"/>
          <w:szCs w:val="24"/>
        </w:rPr>
        <w:lastRenderedPageBreak/>
        <w:t xml:space="preserve">specialized features make it more appropriate for mental health settings. The system confers special features that would help in addressing the specific needs for patients with mental health problems. </w:t>
      </w:r>
    </w:p>
    <w:p w:rsidR="00713F5D" w:rsidRDefault="00713F5D" w:rsidP="00713F5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713F5D" w:rsidRPr="00713F5D" w:rsidRDefault="00713F5D" w:rsidP="00713F5D">
      <w:pPr>
        <w:spacing w:after="0" w:line="480" w:lineRule="auto"/>
        <w:ind w:left="720" w:hanging="720"/>
        <w:rPr>
          <w:rFonts w:ascii="Times New Roman" w:eastAsia="Times New Roman" w:hAnsi="Times New Roman" w:cs="Times New Roman"/>
          <w:sz w:val="24"/>
          <w:szCs w:val="24"/>
        </w:rPr>
      </w:pPr>
      <w:r w:rsidRPr="00713F5D">
        <w:rPr>
          <w:rFonts w:ascii="Times New Roman" w:eastAsia="Times New Roman" w:hAnsi="Times New Roman" w:cs="Times New Roman"/>
          <w:sz w:val="24"/>
          <w:szCs w:val="24"/>
        </w:rPr>
        <w:t xml:space="preserve">Aguirre, R. R., Suarez, O., Fuentes, M., &amp; Sanchez-Gonzalez, M. A. (2019). Electronic Health Record Implementation: A Review of Resources and Tools. </w:t>
      </w:r>
      <w:r w:rsidRPr="00713F5D">
        <w:rPr>
          <w:rFonts w:ascii="Times New Roman" w:eastAsia="Times New Roman" w:hAnsi="Times New Roman" w:cs="Times New Roman"/>
          <w:i/>
          <w:iCs/>
          <w:sz w:val="24"/>
          <w:szCs w:val="24"/>
        </w:rPr>
        <w:t>Cureus</w:t>
      </w:r>
      <w:r w:rsidRPr="00713F5D">
        <w:rPr>
          <w:rFonts w:ascii="Times New Roman" w:eastAsia="Times New Roman" w:hAnsi="Times New Roman" w:cs="Times New Roman"/>
          <w:sz w:val="24"/>
          <w:szCs w:val="24"/>
        </w:rPr>
        <w:t xml:space="preserve">, </w:t>
      </w:r>
      <w:r w:rsidRPr="00713F5D">
        <w:rPr>
          <w:rFonts w:ascii="Times New Roman" w:eastAsia="Times New Roman" w:hAnsi="Times New Roman" w:cs="Times New Roman"/>
          <w:i/>
          <w:iCs/>
          <w:sz w:val="24"/>
          <w:szCs w:val="24"/>
        </w:rPr>
        <w:t>11</w:t>
      </w:r>
      <w:r w:rsidRPr="00713F5D">
        <w:rPr>
          <w:rFonts w:ascii="Times New Roman" w:eastAsia="Times New Roman" w:hAnsi="Times New Roman" w:cs="Times New Roman"/>
          <w:sz w:val="24"/>
          <w:szCs w:val="24"/>
        </w:rPr>
        <w:t xml:space="preserve">(9). </w:t>
      </w:r>
      <w:hyperlink r:id="rId4" w:history="1">
        <w:r w:rsidRPr="00713F5D">
          <w:rPr>
            <w:rStyle w:val="Hyperlink"/>
            <w:rFonts w:ascii="Times New Roman" w:eastAsia="Times New Roman" w:hAnsi="Times New Roman" w:cs="Times New Roman"/>
            <w:sz w:val="24"/>
            <w:szCs w:val="24"/>
          </w:rPr>
          <w:t>https://doi.org/10.7759/cureus.5649</w:t>
        </w:r>
      </w:hyperlink>
      <w:r w:rsidRPr="00713F5D">
        <w:rPr>
          <w:rFonts w:ascii="Times New Roman" w:eastAsia="Times New Roman" w:hAnsi="Times New Roman" w:cs="Times New Roman"/>
          <w:sz w:val="24"/>
          <w:szCs w:val="24"/>
        </w:rPr>
        <w:t xml:space="preserve"> </w:t>
      </w:r>
    </w:p>
    <w:p w:rsidR="00713F5D" w:rsidRPr="00713F5D" w:rsidRDefault="00713F5D" w:rsidP="00713F5D">
      <w:pPr>
        <w:spacing w:after="0" w:line="480" w:lineRule="auto"/>
        <w:ind w:left="720" w:hanging="720"/>
        <w:rPr>
          <w:rFonts w:ascii="Times New Roman" w:eastAsia="Times New Roman" w:hAnsi="Times New Roman" w:cs="Times New Roman"/>
          <w:sz w:val="24"/>
          <w:szCs w:val="24"/>
        </w:rPr>
      </w:pPr>
      <w:r w:rsidRPr="00713F5D">
        <w:rPr>
          <w:rFonts w:ascii="Times New Roman" w:eastAsia="Times New Roman" w:hAnsi="Times New Roman" w:cs="Times New Roman"/>
          <w:sz w:val="24"/>
          <w:szCs w:val="24"/>
        </w:rPr>
        <w:t xml:space="preserve">Ani, M. A., Garas, G., Hollingshead, J., Cheetham, D., Athanasiou, T., &amp; Patel, V. (2022). Which electronic health record system should we use? A systematic review. </w:t>
      </w:r>
      <w:r w:rsidRPr="00713F5D">
        <w:rPr>
          <w:rFonts w:ascii="Times New Roman" w:eastAsia="Times New Roman" w:hAnsi="Times New Roman" w:cs="Times New Roman"/>
          <w:i/>
          <w:iCs/>
          <w:sz w:val="24"/>
          <w:szCs w:val="24"/>
        </w:rPr>
        <w:t>Medical Principles and Practice</w:t>
      </w:r>
      <w:r w:rsidRPr="00713F5D">
        <w:rPr>
          <w:rFonts w:ascii="Times New Roman" w:eastAsia="Times New Roman" w:hAnsi="Times New Roman" w:cs="Times New Roman"/>
          <w:sz w:val="24"/>
          <w:szCs w:val="24"/>
        </w:rPr>
        <w:t xml:space="preserve">, </w:t>
      </w:r>
      <w:r w:rsidRPr="00713F5D">
        <w:rPr>
          <w:rFonts w:ascii="Times New Roman" w:eastAsia="Times New Roman" w:hAnsi="Times New Roman" w:cs="Times New Roman"/>
          <w:i/>
          <w:iCs/>
          <w:sz w:val="24"/>
          <w:szCs w:val="24"/>
        </w:rPr>
        <w:t>31</w:t>
      </w:r>
      <w:r w:rsidRPr="00713F5D">
        <w:rPr>
          <w:rFonts w:ascii="Times New Roman" w:eastAsia="Times New Roman" w:hAnsi="Times New Roman" w:cs="Times New Roman"/>
          <w:sz w:val="24"/>
          <w:szCs w:val="24"/>
        </w:rPr>
        <w:t xml:space="preserve">(4), 342-351. </w:t>
      </w:r>
      <w:hyperlink r:id="rId5" w:history="1">
        <w:r w:rsidRPr="00713F5D">
          <w:rPr>
            <w:rStyle w:val="Hyperlink"/>
            <w:rFonts w:ascii="Times New Roman" w:eastAsia="Times New Roman" w:hAnsi="Times New Roman" w:cs="Times New Roman"/>
            <w:sz w:val="24"/>
            <w:szCs w:val="24"/>
          </w:rPr>
          <w:t>https://doi.org/10.1159/000525135</w:t>
        </w:r>
      </w:hyperlink>
      <w:r w:rsidRPr="00713F5D">
        <w:rPr>
          <w:rFonts w:ascii="Times New Roman" w:eastAsia="Times New Roman" w:hAnsi="Times New Roman" w:cs="Times New Roman"/>
          <w:sz w:val="24"/>
          <w:szCs w:val="24"/>
        </w:rPr>
        <w:t xml:space="preserve"> </w:t>
      </w:r>
    </w:p>
    <w:p w:rsidR="00713F5D" w:rsidRPr="00713F5D" w:rsidRDefault="00713F5D" w:rsidP="00713F5D">
      <w:pPr>
        <w:spacing w:after="0" w:line="480" w:lineRule="auto"/>
        <w:ind w:left="720" w:hanging="720"/>
        <w:rPr>
          <w:rFonts w:ascii="Times New Roman" w:eastAsia="Times New Roman" w:hAnsi="Times New Roman" w:cs="Times New Roman"/>
          <w:sz w:val="24"/>
          <w:szCs w:val="24"/>
        </w:rPr>
      </w:pPr>
      <w:r w:rsidRPr="00713F5D">
        <w:rPr>
          <w:rFonts w:ascii="Times New Roman" w:eastAsia="Times New Roman" w:hAnsi="Times New Roman" w:cs="Times New Roman"/>
          <w:sz w:val="24"/>
          <w:szCs w:val="24"/>
        </w:rPr>
        <w:t xml:space="preserve">Shaw, R., Stroo, M., Fiander, C., &amp; McMillan, K. (2020). Selecting Mobile Health Technologies for Electronic Health Record Integration: Case Study. </w:t>
      </w:r>
      <w:r w:rsidRPr="00713F5D">
        <w:rPr>
          <w:rFonts w:ascii="Times New Roman" w:eastAsia="Times New Roman" w:hAnsi="Times New Roman" w:cs="Times New Roman"/>
          <w:i/>
          <w:iCs/>
          <w:sz w:val="24"/>
          <w:szCs w:val="24"/>
        </w:rPr>
        <w:t>Journal of Medical Internet Research</w:t>
      </w:r>
      <w:r w:rsidRPr="00713F5D">
        <w:rPr>
          <w:rFonts w:ascii="Times New Roman" w:eastAsia="Times New Roman" w:hAnsi="Times New Roman" w:cs="Times New Roman"/>
          <w:sz w:val="24"/>
          <w:szCs w:val="24"/>
        </w:rPr>
        <w:t xml:space="preserve">, </w:t>
      </w:r>
      <w:r w:rsidRPr="00713F5D">
        <w:rPr>
          <w:rFonts w:ascii="Times New Roman" w:eastAsia="Times New Roman" w:hAnsi="Times New Roman" w:cs="Times New Roman"/>
          <w:i/>
          <w:iCs/>
          <w:sz w:val="24"/>
          <w:szCs w:val="24"/>
        </w:rPr>
        <w:t>22</w:t>
      </w:r>
      <w:r w:rsidRPr="00713F5D">
        <w:rPr>
          <w:rFonts w:ascii="Times New Roman" w:eastAsia="Times New Roman" w:hAnsi="Times New Roman" w:cs="Times New Roman"/>
          <w:sz w:val="24"/>
          <w:szCs w:val="24"/>
        </w:rPr>
        <w:t xml:space="preserve">(10). </w:t>
      </w:r>
      <w:hyperlink r:id="rId6" w:history="1">
        <w:r w:rsidRPr="00713F5D">
          <w:rPr>
            <w:rStyle w:val="Hyperlink"/>
            <w:rFonts w:ascii="Times New Roman" w:eastAsia="Times New Roman" w:hAnsi="Times New Roman" w:cs="Times New Roman"/>
            <w:sz w:val="24"/>
            <w:szCs w:val="24"/>
          </w:rPr>
          <w:t>https://doi.org/10.2196/23314</w:t>
        </w:r>
      </w:hyperlink>
      <w:r w:rsidRPr="00713F5D">
        <w:rPr>
          <w:rFonts w:ascii="Times New Roman" w:eastAsia="Times New Roman" w:hAnsi="Times New Roman" w:cs="Times New Roman"/>
          <w:sz w:val="24"/>
          <w:szCs w:val="24"/>
        </w:rPr>
        <w:t xml:space="preserve"> </w:t>
      </w:r>
    </w:p>
    <w:p w:rsidR="00713F5D" w:rsidRPr="00713F5D" w:rsidRDefault="00713F5D" w:rsidP="00713F5D">
      <w:pPr>
        <w:spacing w:after="0" w:line="480" w:lineRule="auto"/>
        <w:ind w:left="720" w:hanging="720"/>
        <w:rPr>
          <w:rFonts w:ascii="Times New Roman" w:eastAsia="Times New Roman" w:hAnsi="Times New Roman" w:cs="Times New Roman"/>
          <w:sz w:val="24"/>
          <w:szCs w:val="24"/>
        </w:rPr>
      </w:pPr>
      <w:r w:rsidRPr="00713F5D">
        <w:rPr>
          <w:rFonts w:ascii="Times New Roman" w:eastAsia="Times New Roman" w:hAnsi="Times New Roman" w:cs="Times New Roman"/>
          <w:sz w:val="24"/>
          <w:szCs w:val="24"/>
        </w:rPr>
        <w:t xml:space="preserve">Shull, J. G. (2019). Digital health and the state of interoperable Electronic Health Records. </w:t>
      </w:r>
      <w:r w:rsidRPr="00713F5D">
        <w:rPr>
          <w:rFonts w:ascii="Times New Roman" w:eastAsia="Times New Roman" w:hAnsi="Times New Roman" w:cs="Times New Roman"/>
          <w:i/>
          <w:iCs/>
          <w:sz w:val="24"/>
          <w:szCs w:val="24"/>
        </w:rPr>
        <w:t>JMIR Medical Informatics</w:t>
      </w:r>
      <w:r w:rsidRPr="00713F5D">
        <w:rPr>
          <w:rFonts w:ascii="Times New Roman" w:eastAsia="Times New Roman" w:hAnsi="Times New Roman" w:cs="Times New Roman"/>
          <w:sz w:val="24"/>
          <w:szCs w:val="24"/>
        </w:rPr>
        <w:t xml:space="preserve">, </w:t>
      </w:r>
      <w:r w:rsidRPr="00713F5D">
        <w:rPr>
          <w:rFonts w:ascii="Times New Roman" w:eastAsia="Times New Roman" w:hAnsi="Times New Roman" w:cs="Times New Roman"/>
          <w:i/>
          <w:iCs/>
          <w:sz w:val="24"/>
          <w:szCs w:val="24"/>
        </w:rPr>
        <w:t>7</w:t>
      </w:r>
      <w:r w:rsidRPr="00713F5D">
        <w:rPr>
          <w:rFonts w:ascii="Times New Roman" w:eastAsia="Times New Roman" w:hAnsi="Times New Roman" w:cs="Times New Roman"/>
          <w:sz w:val="24"/>
          <w:szCs w:val="24"/>
        </w:rPr>
        <w:t xml:space="preserve">(4). </w:t>
      </w:r>
      <w:hyperlink r:id="rId7" w:history="1">
        <w:r w:rsidRPr="00713F5D">
          <w:rPr>
            <w:rStyle w:val="Hyperlink"/>
            <w:rFonts w:ascii="Times New Roman" w:eastAsia="Times New Roman" w:hAnsi="Times New Roman" w:cs="Times New Roman"/>
            <w:sz w:val="24"/>
            <w:szCs w:val="24"/>
          </w:rPr>
          <w:t>https://doi.org/10.2196/12712</w:t>
        </w:r>
      </w:hyperlink>
      <w:r w:rsidRPr="00713F5D">
        <w:rPr>
          <w:rFonts w:ascii="Times New Roman" w:eastAsia="Times New Roman" w:hAnsi="Times New Roman" w:cs="Times New Roman"/>
          <w:sz w:val="24"/>
          <w:szCs w:val="24"/>
        </w:rPr>
        <w:t xml:space="preserve"> </w:t>
      </w:r>
    </w:p>
    <w:p w:rsidR="00713F5D" w:rsidRPr="00713F5D" w:rsidRDefault="00713F5D" w:rsidP="00713F5D">
      <w:pPr>
        <w:spacing w:after="0" w:line="480" w:lineRule="auto"/>
        <w:ind w:left="720" w:hanging="720"/>
        <w:rPr>
          <w:rFonts w:ascii="Times New Roman" w:eastAsia="Times New Roman" w:hAnsi="Times New Roman" w:cs="Times New Roman"/>
          <w:sz w:val="24"/>
          <w:szCs w:val="24"/>
        </w:rPr>
      </w:pPr>
      <w:r w:rsidRPr="00713F5D">
        <w:rPr>
          <w:rFonts w:ascii="Times New Roman" w:eastAsia="Times New Roman" w:hAnsi="Times New Roman" w:cs="Times New Roman"/>
          <w:sz w:val="24"/>
          <w:szCs w:val="24"/>
        </w:rPr>
        <w:t xml:space="preserve">Vos, J. F., Boonstra, A., Kooistra, A., Seelen, M., &amp; van Offenbeek, M. (2020). The influence of electronic health record use on collaboration among medical specialties. </w:t>
      </w:r>
      <w:r w:rsidRPr="00713F5D">
        <w:rPr>
          <w:rFonts w:ascii="Times New Roman" w:eastAsia="Times New Roman" w:hAnsi="Times New Roman" w:cs="Times New Roman"/>
          <w:i/>
          <w:iCs/>
          <w:sz w:val="24"/>
          <w:szCs w:val="24"/>
        </w:rPr>
        <w:t>BMC Health Services Research</w:t>
      </w:r>
      <w:r w:rsidRPr="00713F5D">
        <w:rPr>
          <w:rFonts w:ascii="Times New Roman" w:eastAsia="Times New Roman" w:hAnsi="Times New Roman" w:cs="Times New Roman"/>
          <w:sz w:val="24"/>
          <w:szCs w:val="24"/>
        </w:rPr>
        <w:t xml:space="preserve">, </w:t>
      </w:r>
      <w:r w:rsidRPr="00713F5D">
        <w:rPr>
          <w:rFonts w:ascii="Times New Roman" w:eastAsia="Times New Roman" w:hAnsi="Times New Roman" w:cs="Times New Roman"/>
          <w:i/>
          <w:iCs/>
          <w:sz w:val="24"/>
          <w:szCs w:val="24"/>
        </w:rPr>
        <w:t>20</w:t>
      </w:r>
      <w:r w:rsidRPr="00713F5D">
        <w:rPr>
          <w:rFonts w:ascii="Times New Roman" w:eastAsia="Times New Roman" w:hAnsi="Times New Roman" w:cs="Times New Roman"/>
          <w:sz w:val="24"/>
          <w:szCs w:val="24"/>
        </w:rPr>
        <w:t xml:space="preserve">(1), 1-11. </w:t>
      </w:r>
      <w:r w:rsidRPr="00713F5D">
        <w:rPr>
          <w:rStyle w:val="c-bibliographic-informationvalue"/>
          <w:rFonts w:ascii="Times New Roman" w:hAnsi="Times New Roman" w:cs="Times New Roman"/>
          <w:sz w:val="24"/>
          <w:szCs w:val="24"/>
        </w:rPr>
        <w:t>https://doi.org/10.1186/s12913-020-05542-6</w:t>
      </w:r>
    </w:p>
    <w:sectPr w:rsidR="00713F5D" w:rsidRPr="00713F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3B"/>
    <w:rsid w:val="00151BE5"/>
    <w:rsid w:val="002C337D"/>
    <w:rsid w:val="002F3CB3"/>
    <w:rsid w:val="00355473"/>
    <w:rsid w:val="00463553"/>
    <w:rsid w:val="004B51B6"/>
    <w:rsid w:val="00713F5D"/>
    <w:rsid w:val="007D266F"/>
    <w:rsid w:val="00A643F6"/>
    <w:rsid w:val="00A67188"/>
    <w:rsid w:val="00B01D0E"/>
    <w:rsid w:val="00BD7C5E"/>
    <w:rsid w:val="00C44E86"/>
    <w:rsid w:val="00C7003B"/>
    <w:rsid w:val="00CC7B0F"/>
    <w:rsid w:val="00CE0735"/>
    <w:rsid w:val="00DC7994"/>
    <w:rsid w:val="00EA471A"/>
    <w:rsid w:val="00F53120"/>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1B35"/>
  <w15:chartTrackingRefBased/>
  <w15:docId w15:val="{91F0EC7E-FCCB-466D-8B4B-CDE75207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1B6"/>
    <w:rPr>
      <w:color w:val="0563C1" w:themeColor="hyperlink"/>
      <w:u w:val="single"/>
    </w:rPr>
  </w:style>
  <w:style w:type="character" w:customStyle="1" w:styleId="c-bibliographic-informationvalue">
    <w:name w:val="c-bibliographic-information__value"/>
    <w:basedOn w:val="DefaultParagraphFont"/>
    <w:rsid w:val="00713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18686">
      <w:bodyDiv w:val="1"/>
      <w:marLeft w:val="0"/>
      <w:marRight w:val="0"/>
      <w:marTop w:val="0"/>
      <w:marBottom w:val="0"/>
      <w:divBdr>
        <w:top w:val="none" w:sz="0" w:space="0" w:color="auto"/>
        <w:left w:val="none" w:sz="0" w:space="0" w:color="auto"/>
        <w:bottom w:val="none" w:sz="0" w:space="0" w:color="auto"/>
        <w:right w:val="none" w:sz="0" w:space="0" w:color="auto"/>
      </w:divBdr>
      <w:divsChild>
        <w:div w:id="143356836">
          <w:marLeft w:val="0"/>
          <w:marRight w:val="0"/>
          <w:marTop w:val="0"/>
          <w:marBottom w:val="0"/>
          <w:divBdr>
            <w:top w:val="none" w:sz="0" w:space="0" w:color="auto"/>
            <w:left w:val="none" w:sz="0" w:space="0" w:color="auto"/>
            <w:bottom w:val="none" w:sz="0" w:space="0" w:color="auto"/>
            <w:right w:val="none" w:sz="0" w:space="0" w:color="auto"/>
          </w:divBdr>
        </w:div>
      </w:divsChild>
    </w:div>
    <w:div w:id="702828000">
      <w:bodyDiv w:val="1"/>
      <w:marLeft w:val="0"/>
      <w:marRight w:val="0"/>
      <w:marTop w:val="0"/>
      <w:marBottom w:val="0"/>
      <w:divBdr>
        <w:top w:val="none" w:sz="0" w:space="0" w:color="auto"/>
        <w:left w:val="none" w:sz="0" w:space="0" w:color="auto"/>
        <w:bottom w:val="none" w:sz="0" w:space="0" w:color="auto"/>
        <w:right w:val="none" w:sz="0" w:space="0" w:color="auto"/>
      </w:divBdr>
      <w:divsChild>
        <w:div w:id="798261111">
          <w:marLeft w:val="0"/>
          <w:marRight w:val="0"/>
          <w:marTop w:val="0"/>
          <w:marBottom w:val="0"/>
          <w:divBdr>
            <w:top w:val="none" w:sz="0" w:space="0" w:color="auto"/>
            <w:left w:val="none" w:sz="0" w:space="0" w:color="auto"/>
            <w:bottom w:val="none" w:sz="0" w:space="0" w:color="auto"/>
            <w:right w:val="none" w:sz="0" w:space="0" w:color="auto"/>
          </w:divBdr>
        </w:div>
      </w:divsChild>
    </w:div>
    <w:div w:id="1017006239">
      <w:bodyDiv w:val="1"/>
      <w:marLeft w:val="0"/>
      <w:marRight w:val="0"/>
      <w:marTop w:val="0"/>
      <w:marBottom w:val="0"/>
      <w:divBdr>
        <w:top w:val="none" w:sz="0" w:space="0" w:color="auto"/>
        <w:left w:val="none" w:sz="0" w:space="0" w:color="auto"/>
        <w:bottom w:val="none" w:sz="0" w:space="0" w:color="auto"/>
        <w:right w:val="none" w:sz="0" w:space="0" w:color="auto"/>
      </w:divBdr>
      <w:divsChild>
        <w:div w:id="2107769604">
          <w:marLeft w:val="0"/>
          <w:marRight w:val="0"/>
          <w:marTop w:val="0"/>
          <w:marBottom w:val="0"/>
          <w:divBdr>
            <w:top w:val="none" w:sz="0" w:space="0" w:color="auto"/>
            <w:left w:val="none" w:sz="0" w:space="0" w:color="auto"/>
            <w:bottom w:val="none" w:sz="0" w:space="0" w:color="auto"/>
            <w:right w:val="none" w:sz="0" w:space="0" w:color="auto"/>
          </w:divBdr>
        </w:div>
      </w:divsChild>
    </w:div>
    <w:div w:id="1567643443">
      <w:bodyDiv w:val="1"/>
      <w:marLeft w:val="0"/>
      <w:marRight w:val="0"/>
      <w:marTop w:val="0"/>
      <w:marBottom w:val="0"/>
      <w:divBdr>
        <w:top w:val="none" w:sz="0" w:space="0" w:color="auto"/>
        <w:left w:val="none" w:sz="0" w:space="0" w:color="auto"/>
        <w:bottom w:val="none" w:sz="0" w:space="0" w:color="auto"/>
        <w:right w:val="none" w:sz="0" w:space="0" w:color="auto"/>
      </w:divBdr>
      <w:divsChild>
        <w:div w:id="164243798">
          <w:marLeft w:val="0"/>
          <w:marRight w:val="0"/>
          <w:marTop w:val="0"/>
          <w:marBottom w:val="0"/>
          <w:divBdr>
            <w:top w:val="none" w:sz="0" w:space="0" w:color="auto"/>
            <w:left w:val="none" w:sz="0" w:space="0" w:color="auto"/>
            <w:bottom w:val="none" w:sz="0" w:space="0" w:color="auto"/>
            <w:right w:val="none" w:sz="0" w:space="0" w:color="auto"/>
          </w:divBdr>
        </w:div>
      </w:divsChild>
    </w:div>
    <w:div w:id="2137260935">
      <w:bodyDiv w:val="1"/>
      <w:marLeft w:val="0"/>
      <w:marRight w:val="0"/>
      <w:marTop w:val="0"/>
      <w:marBottom w:val="0"/>
      <w:divBdr>
        <w:top w:val="none" w:sz="0" w:space="0" w:color="auto"/>
        <w:left w:val="none" w:sz="0" w:space="0" w:color="auto"/>
        <w:bottom w:val="none" w:sz="0" w:space="0" w:color="auto"/>
        <w:right w:val="none" w:sz="0" w:space="0" w:color="auto"/>
      </w:divBdr>
      <w:divsChild>
        <w:div w:id="559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2196/127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96/23314" TargetMode="External"/><Relationship Id="rId5" Type="http://schemas.openxmlformats.org/officeDocument/2006/relationships/hyperlink" Target="https://doi.org/10.1159/000525135" TargetMode="External"/><Relationship Id="rId4" Type="http://schemas.openxmlformats.org/officeDocument/2006/relationships/hyperlink" Target="https://doi.org/10.7759/cureus.564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2023-11-04T22:51:00Z</dcterms:created>
  <dcterms:modified xsi:type="dcterms:W3CDTF">2023-11-05T10:52:00Z</dcterms:modified>
</cp:coreProperties>
</file>