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24D" w:rsidRPr="000F3D58" w:rsidRDefault="002B0B20" w:rsidP="000F3D58">
      <w:pPr>
        <w:spacing w:after="0" w:line="480" w:lineRule="auto"/>
        <w:rPr>
          <w:rFonts w:ascii="Times New Roman" w:hAnsi="Times New Roman" w:cs="Times New Roman"/>
          <w:b/>
        </w:rPr>
      </w:pPr>
      <w:r w:rsidRPr="000F3D58">
        <w:rPr>
          <w:rFonts w:ascii="Times New Roman" w:hAnsi="Times New Roman" w:cs="Times New Roman"/>
          <w:b/>
        </w:rPr>
        <w:t xml:space="preserve">Response to Hade </w:t>
      </w:r>
      <w:proofErr w:type="spellStart"/>
      <w:r w:rsidRPr="000F3D58">
        <w:rPr>
          <w:rFonts w:ascii="Times New Roman" w:hAnsi="Times New Roman" w:cs="Times New Roman"/>
          <w:b/>
        </w:rPr>
        <w:t>Dabbagh</w:t>
      </w:r>
      <w:proofErr w:type="spellEnd"/>
    </w:p>
    <w:p w:rsidR="008F4F03" w:rsidRPr="000F3D58" w:rsidRDefault="002B0B20" w:rsidP="000F3D58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0F3D58">
        <w:rPr>
          <w:rFonts w:ascii="Times New Roman" w:hAnsi="Times New Roman" w:cs="Times New Roman"/>
        </w:rPr>
        <w:t>Hello Hade, thanks for sharing such an informative presentation to this wee</w:t>
      </w:r>
      <w:r w:rsidR="007D60F1" w:rsidRPr="000F3D58">
        <w:rPr>
          <w:rFonts w:ascii="Times New Roman" w:hAnsi="Times New Roman" w:cs="Times New Roman"/>
        </w:rPr>
        <w:t>k</w:t>
      </w:r>
      <w:r w:rsidR="000F3D58" w:rsidRPr="000F3D58">
        <w:rPr>
          <w:rFonts w:ascii="Times New Roman" w:hAnsi="Times New Roman" w:cs="Times New Roman"/>
        </w:rPr>
        <w:t>'</w:t>
      </w:r>
      <w:r w:rsidR="007D60F1" w:rsidRPr="000F3D58">
        <w:rPr>
          <w:rFonts w:ascii="Times New Roman" w:hAnsi="Times New Roman" w:cs="Times New Roman"/>
        </w:rPr>
        <w:t xml:space="preserve">s discussion post questions on the CYP1A2 enzyme. </w:t>
      </w:r>
      <w:r w:rsidR="000F3D58" w:rsidRPr="000F3D58">
        <w:rPr>
          <w:rFonts w:ascii="Times New Roman" w:hAnsi="Times New Roman" w:cs="Times New Roman"/>
        </w:rPr>
        <w:t>Y</w:t>
      </w:r>
      <w:r w:rsidR="00ED2F7C" w:rsidRPr="000F3D58">
        <w:rPr>
          <w:rFonts w:ascii="Times New Roman" w:hAnsi="Times New Roman" w:cs="Times New Roman"/>
        </w:rPr>
        <w:t xml:space="preserve">our presentation was easy and engaging and helped </w:t>
      </w:r>
      <w:r w:rsidR="000F3D58" w:rsidRPr="000F3D58">
        <w:rPr>
          <w:rFonts w:ascii="Times New Roman" w:hAnsi="Times New Roman" w:cs="Times New Roman"/>
        </w:rPr>
        <w:t>me</w:t>
      </w:r>
      <w:r w:rsidR="00ED2F7C" w:rsidRPr="000F3D58">
        <w:rPr>
          <w:rFonts w:ascii="Times New Roman" w:hAnsi="Times New Roman" w:cs="Times New Roman"/>
        </w:rPr>
        <w:t xml:space="preserve"> learn about the CYP1A2 enzyme. </w:t>
      </w:r>
      <w:r w:rsidR="00C645EC" w:rsidRPr="000F3D58">
        <w:rPr>
          <w:rFonts w:ascii="Times New Roman" w:hAnsi="Times New Roman" w:cs="Times New Roman"/>
        </w:rPr>
        <w:t xml:space="preserve">CYP1A2 enzyme works by </w:t>
      </w:r>
      <w:r w:rsidR="00831630" w:rsidRPr="000F3D58">
        <w:rPr>
          <w:rFonts w:ascii="Times New Roman" w:hAnsi="Times New Roman" w:cs="Times New Roman"/>
        </w:rPr>
        <w:t xml:space="preserve">breaking down substances into smaller molecules that </w:t>
      </w:r>
      <w:r w:rsidR="000F3D58" w:rsidRPr="000F3D58">
        <w:rPr>
          <w:rFonts w:ascii="Times New Roman" w:hAnsi="Times New Roman" w:cs="Times New Roman"/>
        </w:rPr>
        <w:t>the body can easily eliminate</w:t>
      </w:r>
      <w:r w:rsidR="00831630" w:rsidRPr="000F3D58">
        <w:rPr>
          <w:rFonts w:ascii="Times New Roman" w:hAnsi="Times New Roman" w:cs="Times New Roman"/>
        </w:rPr>
        <w:t xml:space="preserve">. </w:t>
      </w:r>
      <w:r w:rsidR="000530D0" w:rsidRPr="000F3D58">
        <w:rPr>
          <w:rFonts w:ascii="Times New Roman" w:hAnsi="Times New Roman" w:cs="Times New Roman"/>
        </w:rPr>
        <w:t>D</w:t>
      </w:r>
      <w:r w:rsidR="000530D0" w:rsidRPr="000F3D58">
        <w:rPr>
          <w:rFonts w:ascii="Times New Roman" w:hAnsi="Times New Roman" w:cs="Times New Roman"/>
        </w:rPr>
        <w:t xml:space="preserve">ysfunction or alterations in the activity of CYP1A2 can lead to significant changes in the metabolism of these substances, potentially affecting their efficacy or toxicity. </w:t>
      </w:r>
      <w:r w:rsidR="000F3D58" w:rsidRPr="000F3D58">
        <w:rPr>
          <w:rFonts w:ascii="Times New Roman" w:hAnsi="Times New Roman" w:cs="Times New Roman"/>
        </w:rPr>
        <w:t>Genetic variations in the CYP1A2 gene can also</w:t>
      </w:r>
      <w:r w:rsidR="000530D0" w:rsidRPr="000F3D58">
        <w:rPr>
          <w:rFonts w:ascii="Times New Roman" w:hAnsi="Times New Roman" w:cs="Times New Roman"/>
        </w:rPr>
        <w:t xml:space="preserve"> influence an individual's susceptibility to certain diseases or their response to specific medications. </w:t>
      </w:r>
      <w:r w:rsidR="00831630" w:rsidRPr="000F3D58">
        <w:rPr>
          <w:rFonts w:ascii="Times New Roman" w:hAnsi="Times New Roman" w:cs="Times New Roman"/>
        </w:rPr>
        <w:t xml:space="preserve">However, it is significant </w:t>
      </w:r>
      <w:r w:rsidR="00CB7DA6" w:rsidRPr="000F3D58">
        <w:rPr>
          <w:rFonts w:ascii="Times New Roman" w:hAnsi="Times New Roman" w:cs="Times New Roman"/>
        </w:rPr>
        <w:t xml:space="preserve">that the </w:t>
      </w:r>
      <w:r w:rsidR="000F3D58" w:rsidRPr="000F3D58">
        <w:rPr>
          <w:rFonts w:ascii="Times New Roman" w:hAnsi="Times New Roman" w:cs="Times New Roman"/>
        </w:rPr>
        <w:t>individual's genetic predisposition impacts the enzyme activity's effectiveness</w:t>
      </w:r>
      <w:r w:rsidR="00C5799A" w:rsidRPr="000F3D58">
        <w:rPr>
          <w:rFonts w:ascii="Times New Roman" w:hAnsi="Times New Roman" w:cs="Times New Roman"/>
        </w:rPr>
        <w:t xml:space="preserve">. </w:t>
      </w:r>
      <w:r w:rsidR="004863EF" w:rsidRPr="000F3D58">
        <w:rPr>
          <w:rFonts w:ascii="Times New Roman" w:hAnsi="Times New Roman" w:cs="Times New Roman"/>
        </w:rPr>
        <w:t>Guo et al</w:t>
      </w:r>
      <w:bookmarkStart w:id="0" w:name="_GoBack"/>
      <w:bookmarkEnd w:id="0"/>
      <w:r w:rsidR="004863EF" w:rsidRPr="000F3D58">
        <w:rPr>
          <w:rFonts w:ascii="Times New Roman" w:hAnsi="Times New Roman" w:cs="Times New Roman"/>
        </w:rPr>
        <w:t xml:space="preserve">. (2021) </w:t>
      </w:r>
      <w:r w:rsidR="00C51D6C" w:rsidRPr="000F3D58">
        <w:rPr>
          <w:rFonts w:ascii="Times New Roman" w:hAnsi="Times New Roman" w:cs="Times New Roman"/>
        </w:rPr>
        <w:t xml:space="preserve">asserted </w:t>
      </w:r>
      <w:r w:rsidR="003D659F" w:rsidRPr="000F3D58">
        <w:rPr>
          <w:rFonts w:ascii="Times New Roman" w:hAnsi="Times New Roman" w:cs="Times New Roman"/>
        </w:rPr>
        <w:t xml:space="preserve">that </w:t>
      </w:r>
      <w:r w:rsidR="000F3D58" w:rsidRPr="000F3D58">
        <w:rPr>
          <w:rFonts w:ascii="Times New Roman" w:hAnsi="Times New Roman" w:cs="Times New Roman"/>
        </w:rPr>
        <w:t xml:space="preserve">the </w:t>
      </w:r>
      <w:r w:rsidR="0056308E" w:rsidRPr="000F3D58">
        <w:rPr>
          <w:rFonts w:ascii="Times New Roman" w:hAnsi="Times New Roman" w:cs="Times New Roman"/>
        </w:rPr>
        <w:t>CYP1A2 enzyme</w:t>
      </w:r>
      <w:r w:rsidR="00700A74" w:rsidRPr="000F3D58">
        <w:rPr>
          <w:rFonts w:ascii="Times New Roman" w:hAnsi="Times New Roman" w:cs="Times New Roman"/>
        </w:rPr>
        <w:t xml:space="preserve"> metabolizes numerous clinical medications</w:t>
      </w:r>
      <w:r w:rsidR="000F3D58" w:rsidRPr="000F3D58">
        <w:rPr>
          <w:rFonts w:ascii="Times New Roman" w:hAnsi="Times New Roman" w:cs="Times New Roman"/>
        </w:rPr>
        <w:t>,</w:t>
      </w:r>
      <w:r w:rsidR="00700A74" w:rsidRPr="000F3D58">
        <w:rPr>
          <w:rFonts w:ascii="Times New Roman" w:hAnsi="Times New Roman" w:cs="Times New Roman"/>
        </w:rPr>
        <w:t xml:space="preserve"> including mycotoxins, nitrosamines, aflatoxins, and substances such as steroids. </w:t>
      </w:r>
      <w:r w:rsidR="004D187E" w:rsidRPr="000F3D58">
        <w:rPr>
          <w:rFonts w:ascii="Times New Roman" w:hAnsi="Times New Roman" w:cs="Times New Roman"/>
        </w:rPr>
        <w:t xml:space="preserve"> </w:t>
      </w:r>
    </w:p>
    <w:p w:rsidR="002B0B20" w:rsidRPr="000F3D58" w:rsidRDefault="00A0518D" w:rsidP="000F3D58">
      <w:pPr>
        <w:spacing w:after="0" w:line="480" w:lineRule="auto"/>
        <w:ind w:firstLine="720"/>
        <w:rPr>
          <w:rFonts w:ascii="Times New Roman" w:hAnsi="Times New Roman" w:cs="Times New Roman"/>
        </w:rPr>
      </w:pPr>
      <w:r w:rsidRPr="000F3D58">
        <w:rPr>
          <w:rFonts w:ascii="Times New Roman" w:hAnsi="Times New Roman" w:cs="Times New Roman"/>
        </w:rPr>
        <w:t xml:space="preserve">It was surprising to learn that </w:t>
      </w:r>
      <w:r w:rsidR="00A23C89" w:rsidRPr="000F3D58">
        <w:rPr>
          <w:rFonts w:ascii="Times New Roman" w:hAnsi="Times New Roman" w:cs="Times New Roman"/>
        </w:rPr>
        <w:t>polycyclic aromatic hydrocarbon ingestion smoking increases the activity of this enzyme while most medicatio</w:t>
      </w:r>
      <w:r w:rsidR="00BB57EC" w:rsidRPr="000F3D58">
        <w:rPr>
          <w:rFonts w:ascii="Times New Roman" w:hAnsi="Times New Roman" w:cs="Times New Roman"/>
        </w:rPr>
        <w:t>ns</w:t>
      </w:r>
      <w:r w:rsidR="000F3D58" w:rsidRPr="000F3D58">
        <w:rPr>
          <w:rFonts w:ascii="Times New Roman" w:hAnsi="Times New Roman" w:cs="Times New Roman"/>
        </w:rPr>
        <w:t>,</w:t>
      </w:r>
      <w:r w:rsidR="00BB57EC" w:rsidRPr="000F3D58">
        <w:rPr>
          <w:rFonts w:ascii="Times New Roman" w:hAnsi="Times New Roman" w:cs="Times New Roman"/>
        </w:rPr>
        <w:t xml:space="preserve"> including verapamil, fluvoxamine, and oral contraceptives</w:t>
      </w:r>
      <w:r w:rsidR="000F3D58" w:rsidRPr="000F3D58">
        <w:rPr>
          <w:rFonts w:ascii="Times New Roman" w:hAnsi="Times New Roman" w:cs="Times New Roman"/>
        </w:rPr>
        <w:t>,</w:t>
      </w:r>
      <w:r w:rsidR="00BB57EC" w:rsidRPr="000F3D58">
        <w:rPr>
          <w:rFonts w:ascii="Times New Roman" w:hAnsi="Times New Roman" w:cs="Times New Roman"/>
        </w:rPr>
        <w:t xml:space="preserve"> inhibit the activity of this enzyme (</w:t>
      </w:r>
      <w:r w:rsidR="00E861D7" w:rsidRPr="000F3D58">
        <w:rPr>
          <w:rFonts w:ascii="Times New Roman" w:hAnsi="Times New Roman" w:cs="Times New Roman"/>
        </w:rPr>
        <w:t>Guo et al., 2021</w:t>
      </w:r>
      <w:r w:rsidR="00BB57EC" w:rsidRPr="000F3D58">
        <w:rPr>
          <w:rFonts w:ascii="Times New Roman" w:hAnsi="Times New Roman" w:cs="Times New Roman"/>
        </w:rPr>
        <w:t xml:space="preserve">). While investigating </w:t>
      </w:r>
      <w:r w:rsidR="000F3D58" w:rsidRPr="000F3D58">
        <w:rPr>
          <w:rFonts w:ascii="Times New Roman" w:hAnsi="Times New Roman" w:cs="Times New Roman"/>
        </w:rPr>
        <w:t>the restrictions linked to CYP1A2 enzyme, I noted that medications can be co-prescribed and result</w:t>
      </w:r>
      <w:r w:rsidR="000E25FD" w:rsidRPr="000F3D58">
        <w:rPr>
          <w:rFonts w:ascii="Times New Roman" w:hAnsi="Times New Roman" w:cs="Times New Roman"/>
        </w:rPr>
        <w:t xml:space="preserve"> in </w:t>
      </w:r>
      <w:r w:rsidR="00BE6BD4" w:rsidRPr="000F3D58">
        <w:rPr>
          <w:rFonts w:ascii="Times New Roman" w:hAnsi="Times New Roman" w:cs="Times New Roman"/>
        </w:rPr>
        <w:t xml:space="preserve">increased </w:t>
      </w:r>
      <w:r w:rsidR="00995165" w:rsidRPr="000F3D58">
        <w:rPr>
          <w:rFonts w:ascii="Times New Roman" w:hAnsi="Times New Roman" w:cs="Times New Roman"/>
        </w:rPr>
        <w:t>plasm</w:t>
      </w:r>
      <w:r w:rsidR="000F3D58" w:rsidRPr="000F3D58">
        <w:rPr>
          <w:rFonts w:ascii="Times New Roman" w:hAnsi="Times New Roman" w:cs="Times New Roman"/>
        </w:rPr>
        <w:t>a</w:t>
      </w:r>
      <w:r w:rsidR="00995165" w:rsidRPr="000F3D58">
        <w:rPr>
          <w:rFonts w:ascii="Times New Roman" w:hAnsi="Times New Roman" w:cs="Times New Roman"/>
        </w:rPr>
        <w:t xml:space="preserve"> concentrations and</w:t>
      </w:r>
      <w:r w:rsidR="000F3D58" w:rsidRPr="000F3D58">
        <w:rPr>
          <w:rFonts w:ascii="Times New Roman" w:hAnsi="Times New Roman" w:cs="Times New Roman"/>
        </w:rPr>
        <w:t>,</w:t>
      </w:r>
      <w:r w:rsidR="00995165" w:rsidRPr="000F3D58">
        <w:rPr>
          <w:rFonts w:ascii="Times New Roman" w:hAnsi="Times New Roman" w:cs="Times New Roman"/>
        </w:rPr>
        <w:t xml:space="preserve"> consequently adverse effects. Specifically, research by </w:t>
      </w:r>
      <w:proofErr w:type="spellStart"/>
      <w:r w:rsidR="00995165" w:rsidRPr="000F3D58">
        <w:rPr>
          <w:rFonts w:ascii="Times New Roman" w:hAnsi="Times New Roman" w:cs="Times New Roman"/>
        </w:rPr>
        <w:t>Chaugai</w:t>
      </w:r>
      <w:proofErr w:type="spellEnd"/>
      <w:r w:rsidR="00995165" w:rsidRPr="000F3D58">
        <w:rPr>
          <w:rFonts w:ascii="Times New Roman" w:hAnsi="Times New Roman" w:cs="Times New Roman"/>
        </w:rPr>
        <w:t xml:space="preserve"> et al. (2019) noted that pre</w:t>
      </w:r>
      <w:r w:rsidR="00FD49BA" w:rsidRPr="000F3D58">
        <w:rPr>
          <w:rFonts w:ascii="Times New Roman" w:hAnsi="Times New Roman" w:cs="Times New Roman"/>
        </w:rPr>
        <w:t xml:space="preserve">scribing medications such as tizanidine alongside medications such as fluvoxamine that inhibit CYP1A2 enzyme can result in </w:t>
      </w:r>
      <w:r w:rsidR="000F3D58" w:rsidRPr="000F3D58">
        <w:rPr>
          <w:rFonts w:ascii="Times New Roman" w:hAnsi="Times New Roman" w:cs="Times New Roman"/>
        </w:rPr>
        <w:t xml:space="preserve">an </w:t>
      </w:r>
      <w:r w:rsidR="00FD49BA" w:rsidRPr="000F3D58">
        <w:rPr>
          <w:rFonts w:ascii="Times New Roman" w:hAnsi="Times New Roman" w:cs="Times New Roman"/>
        </w:rPr>
        <w:t xml:space="preserve">increase in plasma concentrations of tizanidine and </w:t>
      </w:r>
      <w:r w:rsidR="008F4F03" w:rsidRPr="000F3D58">
        <w:rPr>
          <w:rFonts w:ascii="Times New Roman" w:hAnsi="Times New Roman" w:cs="Times New Roman"/>
        </w:rPr>
        <w:t xml:space="preserve">increase the risk of side effects. </w:t>
      </w:r>
      <w:r w:rsidR="008E239B" w:rsidRPr="000F3D58">
        <w:rPr>
          <w:rFonts w:ascii="Times New Roman" w:hAnsi="Times New Roman" w:cs="Times New Roman"/>
        </w:rPr>
        <w:t xml:space="preserve">One of the significant lessons I learned about </w:t>
      </w:r>
      <w:r w:rsidR="000F3D58" w:rsidRPr="000F3D58">
        <w:rPr>
          <w:rFonts w:ascii="Times New Roman" w:hAnsi="Times New Roman" w:cs="Times New Roman"/>
        </w:rPr>
        <w:t xml:space="preserve">the </w:t>
      </w:r>
      <w:r w:rsidR="008E239B" w:rsidRPr="000F3D58">
        <w:rPr>
          <w:rFonts w:ascii="Times New Roman" w:hAnsi="Times New Roman" w:cs="Times New Roman"/>
        </w:rPr>
        <w:t>CYP1A2 enzyme</w:t>
      </w:r>
      <w:r w:rsidR="008E239B" w:rsidRPr="000F3D58">
        <w:rPr>
          <w:rFonts w:ascii="Times New Roman" w:hAnsi="Times New Roman" w:cs="Times New Roman"/>
        </w:rPr>
        <w:t xml:space="preserve"> is the need </w:t>
      </w:r>
      <w:r w:rsidR="000F3D58" w:rsidRPr="000F3D58">
        <w:rPr>
          <w:rFonts w:ascii="Times New Roman" w:hAnsi="Times New Roman" w:cs="Times New Roman"/>
        </w:rPr>
        <w:t>to adjust</w:t>
      </w:r>
      <w:r w:rsidR="00487DBA" w:rsidRPr="000F3D58">
        <w:rPr>
          <w:rFonts w:ascii="Times New Roman" w:hAnsi="Times New Roman" w:cs="Times New Roman"/>
        </w:rPr>
        <w:t xml:space="preserve"> the frequency or dosage of prescriptions for individuals who are fast metabolizers of </w:t>
      </w:r>
      <w:r w:rsidR="000F3D58" w:rsidRPr="000F3D58">
        <w:rPr>
          <w:rFonts w:ascii="Times New Roman" w:hAnsi="Times New Roman" w:cs="Times New Roman"/>
        </w:rPr>
        <w:t xml:space="preserve">the </w:t>
      </w:r>
      <w:r w:rsidR="00487DBA" w:rsidRPr="000F3D58">
        <w:rPr>
          <w:rFonts w:ascii="Times New Roman" w:hAnsi="Times New Roman" w:cs="Times New Roman"/>
        </w:rPr>
        <w:t>CYP1A2 enzyme</w:t>
      </w:r>
      <w:r w:rsidR="00487DBA" w:rsidRPr="000F3D58">
        <w:rPr>
          <w:rFonts w:ascii="Times New Roman" w:hAnsi="Times New Roman" w:cs="Times New Roman"/>
        </w:rPr>
        <w:t xml:space="preserve">, as it enhances the attainment of desired therapeutic outcomes. </w:t>
      </w:r>
    </w:p>
    <w:p w:rsidR="002E6C6E" w:rsidRPr="000F3D58" w:rsidRDefault="002E6C6E" w:rsidP="000F3D58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0F3D58">
        <w:rPr>
          <w:rFonts w:ascii="Times New Roman" w:hAnsi="Times New Roman" w:cs="Times New Roman"/>
          <w:b/>
        </w:rPr>
        <w:t>References</w:t>
      </w:r>
    </w:p>
    <w:p w:rsidR="001E42C2" w:rsidRPr="000F3D58" w:rsidRDefault="001E42C2" w:rsidP="000F3D58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proofErr w:type="spellStart"/>
      <w:r w:rsidRPr="000F3D5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Chaugai</w:t>
      </w:r>
      <w:proofErr w:type="spellEnd"/>
      <w:r w:rsidRPr="000F3D5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S., Dickson, A. L., </w:t>
      </w:r>
      <w:proofErr w:type="spellStart"/>
      <w:r w:rsidRPr="000F3D5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Shuey</w:t>
      </w:r>
      <w:proofErr w:type="spellEnd"/>
      <w:r w:rsidRPr="000F3D5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 M. M., Feng, Q., Barker, K. A., Wei, W. Q., ... &amp; Chung, C. P. (2019). Co‐Prescription of Strong CYP 1A2 Inhibitors and the Risk of Tizanidine‐Associated Hypotension: A Retrospective Cohort Study. </w:t>
      </w:r>
      <w:r w:rsidRPr="000F3D58">
        <w:rPr>
          <w:rFonts w:ascii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>Clinical Pharmacology &amp; Therapeutics</w:t>
      </w:r>
      <w:r w:rsidRPr="000F3D5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, </w:t>
      </w:r>
      <w:r w:rsidRPr="000F3D58">
        <w:rPr>
          <w:rFonts w:ascii="Times New Roman" w:hAnsi="Times New Roman" w:cs="Times New Roman"/>
          <w:i/>
          <w:iCs/>
          <w:color w:val="222222"/>
          <w:sz w:val="20"/>
          <w:szCs w:val="20"/>
          <w:shd w:val="clear" w:color="auto" w:fill="FFFFFF"/>
        </w:rPr>
        <w:t>105</w:t>
      </w:r>
      <w:r w:rsidRPr="000F3D5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(3), 703-709. </w:t>
      </w:r>
      <w:hyperlink r:id="rId4" w:history="1">
        <w:r w:rsidRPr="000F3D58">
          <w:rPr>
            <w:rStyle w:val="Hyperlink"/>
            <w:rFonts w:ascii="Times New Roman" w:hAnsi="Times New Roman" w:cs="Times New Roman"/>
            <w:sz w:val="20"/>
            <w:szCs w:val="20"/>
            <w:shd w:val="clear" w:color="auto" w:fill="FFFFFF"/>
          </w:rPr>
          <w:t>https://doi.org/10.1002%2Fcpt.1233</w:t>
        </w:r>
      </w:hyperlink>
      <w:r w:rsidRPr="000F3D5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</w:p>
    <w:p w:rsidR="001E42C2" w:rsidRPr="000F3D58" w:rsidRDefault="001E42C2" w:rsidP="000F3D58">
      <w:pPr>
        <w:spacing w:after="0" w:line="480" w:lineRule="auto"/>
        <w:ind w:left="720" w:hanging="720"/>
        <w:rPr>
          <w:rFonts w:ascii="Times New Roman" w:hAnsi="Times New Roman" w:cs="Times New Roman"/>
        </w:rPr>
      </w:pPr>
      <w:r w:rsidRPr="000F3D58">
        <w:rPr>
          <w:rFonts w:ascii="Times New Roman" w:hAnsi="Times New Roman" w:cs="Times New Roman"/>
        </w:rPr>
        <w:lastRenderedPageBreak/>
        <w:t xml:space="preserve">Guo, J., Zhu, X., </w:t>
      </w:r>
      <w:proofErr w:type="spellStart"/>
      <w:r w:rsidRPr="000F3D58">
        <w:rPr>
          <w:rFonts w:ascii="Times New Roman" w:hAnsi="Times New Roman" w:cs="Times New Roman"/>
        </w:rPr>
        <w:t>Badawy</w:t>
      </w:r>
      <w:proofErr w:type="spellEnd"/>
      <w:r w:rsidRPr="000F3D58">
        <w:rPr>
          <w:rFonts w:ascii="Times New Roman" w:hAnsi="Times New Roman" w:cs="Times New Roman"/>
        </w:rPr>
        <w:t xml:space="preserve">, S., Ihsan, A., Liu, Z., </w:t>
      </w:r>
      <w:proofErr w:type="spellStart"/>
      <w:r w:rsidRPr="000F3D58">
        <w:rPr>
          <w:rFonts w:ascii="Times New Roman" w:hAnsi="Times New Roman" w:cs="Times New Roman"/>
        </w:rPr>
        <w:t>Xie</w:t>
      </w:r>
      <w:proofErr w:type="spellEnd"/>
      <w:r w:rsidRPr="000F3D58">
        <w:rPr>
          <w:rFonts w:ascii="Times New Roman" w:hAnsi="Times New Roman" w:cs="Times New Roman"/>
        </w:rPr>
        <w:t>, C., &amp; Wang, X. (2021). Metabolism and Mechanism of Human Cytochrome P450 Enzyme 1A2. </w:t>
      </w:r>
      <w:r w:rsidRPr="000F3D58">
        <w:rPr>
          <w:rFonts w:ascii="Times New Roman" w:hAnsi="Times New Roman" w:cs="Times New Roman"/>
          <w:i/>
          <w:iCs/>
        </w:rPr>
        <w:t>Current drug metabolism</w:t>
      </w:r>
      <w:r w:rsidRPr="000F3D58">
        <w:rPr>
          <w:rFonts w:ascii="Times New Roman" w:hAnsi="Times New Roman" w:cs="Times New Roman"/>
        </w:rPr>
        <w:t>, </w:t>
      </w:r>
      <w:r w:rsidRPr="000F3D58">
        <w:rPr>
          <w:rFonts w:ascii="Times New Roman" w:hAnsi="Times New Roman" w:cs="Times New Roman"/>
          <w:i/>
          <w:iCs/>
        </w:rPr>
        <w:t>22</w:t>
      </w:r>
      <w:r w:rsidRPr="000F3D58">
        <w:rPr>
          <w:rFonts w:ascii="Times New Roman" w:hAnsi="Times New Roman" w:cs="Times New Roman"/>
        </w:rPr>
        <w:t xml:space="preserve">(1), 40–49. </w:t>
      </w:r>
      <w:hyperlink r:id="rId5" w:history="1">
        <w:r w:rsidRPr="000F3D58">
          <w:rPr>
            <w:rStyle w:val="Hyperlink"/>
            <w:rFonts w:ascii="Times New Roman" w:hAnsi="Times New Roman" w:cs="Times New Roman"/>
          </w:rPr>
          <w:t>https://doi.org/10.2174/1389200221999210101233135</w:t>
        </w:r>
      </w:hyperlink>
      <w:r w:rsidRPr="000F3D58">
        <w:rPr>
          <w:rFonts w:ascii="Times New Roman" w:hAnsi="Times New Roman" w:cs="Times New Roman"/>
        </w:rPr>
        <w:t xml:space="preserve"> </w:t>
      </w:r>
    </w:p>
    <w:p w:rsidR="003B4E6B" w:rsidRPr="000F3D58" w:rsidRDefault="003B4E6B" w:rsidP="000F3D58">
      <w:pPr>
        <w:spacing w:after="0" w:line="480" w:lineRule="auto"/>
        <w:rPr>
          <w:rFonts w:ascii="Times New Roman" w:hAnsi="Times New Roman" w:cs="Times New Roman"/>
        </w:rPr>
      </w:pPr>
    </w:p>
    <w:sectPr w:rsidR="003B4E6B" w:rsidRPr="000F3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S0MLAE0uamBhbmlko6SsGpxcWZ+XkgBYa1AFZO7ossAAAA"/>
  </w:docVars>
  <w:rsids>
    <w:rsidRoot w:val="0020124D"/>
    <w:rsid w:val="000530D0"/>
    <w:rsid w:val="000E25FD"/>
    <w:rsid w:val="000F3D58"/>
    <w:rsid w:val="00110CA4"/>
    <w:rsid w:val="001A0D2B"/>
    <w:rsid w:val="001E42C2"/>
    <w:rsid w:val="0020124D"/>
    <w:rsid w:val="002B0B20"/>
    <w:rsid w:val="002C59C5"/>
    <w:rsid w:val="002E6C6E"/>
    <w:rsid w:val="003323F2"/>
    <w:rsid w:val="003B4E6B"/>
    <w:rsid w:val="003D659F"/>
    <w:rsid w:val="004863EF"/>
    <w:rsid w:val="00487DBA"/>
    <w:rsid w:val="004D187E"/>
    <w:rsid w:val="0056308E"/>
    <w:rsid w:val="00700A74"/>
    <w:rsid w:val="007D60F1"/>
    <w:rsid w:val="00831630"/>
    <w:rsid w:val="008E239B"/>
    <w:rsid w:val="008F4F03"/>
    <w:rsid w:val="009850BB"/>
    <w:rsid w:val="00995165"/>
    <w:rsid w:val="00A0518D"/>
    <w:rsid w:val="00A23C89"/>
    <w:rsid w:val="00AF12B5"/>
    <w:rsid w:val="00B02114"/>
    <w:rsid w:val="00BB57EC"/>
    <w:rsid w:val="00BE6BD4"/>
    <w:rsid w:val="00C51D6C"/>
    <w:rsid w:val="00C5799A"/>
    <w:rsid w:val="00C645EC"/>
    <w:rsid w:val="00C8064A"/>
    <w:rsid w:val="00CB7DA6"/>
    <w:rsid w:val="00E861D7"/>
    <w:rsid w:val="00ED2F7C"/>
    <w:rsid w:val="00F12FB7"/>
    <w:rsid w:val="00FD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EBF53"/>
  <w15:chartTrackingRefBased/>
  <w15:docId w15:val="{94DC29F5-8A61-4DF4-89D2-4E7489723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06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2174/1389200221999210101233135" TargetMode="External"/><Relationship Id="rId4" Type="http://schemas.openxmlformats.org/officeDocument/2006/relationships/hyperlink" Target="https://doi.org/10.1002%2Fcpt.1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42</cp:revision>
  <dcterms:created xsi:type="dcterms:W3CDTF">2023-09-14T14:34:00Z</dcterms:created>
  <dcterms:modified xsi:type="dcterms:W3CDTF">2023-09-14T16:40:00Z</dcterms:modified>
</cp:coreProperties>
</file>