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8D1C" w14:textId="77777777" w:rsidR="005035B3" w:rsidRPr="005035B3" w:rsidRDefault="005035B3" w:rsidP="005035B3">
      <w:pPr>
        <w:spacing w:after="0" w:line="240" w:lineRule="auto"/>
        <w:outlineLvl w:val="2"/>
        <w:rPr>
          <w:rFonts w:ascii="var(--font-family-display)" w:eastAsia="Times New Roman" w:hAnsi="var(--font-family-display)" w:cs="Times New Roman"/>
          <w:b/>
          <w:bCs/>
          <w:kern w:val="0"/>
          <w:sz w:val="27"/>
          <w:szCs w:val="27"/>
          <w14:ligatures w14:val="none"/>
        </w:rPr>
      </w:pPr>
      <w:r w:rsidRPr="005035B3">
        <w:rPr>
          <w:rFonts w:ascii="var(--font-family-display)" w:eastAsia="Times New Roman" w:hAnsi="var(--font-family-display)" w:cs="Times New Roman"/>
          <w:b/>
          <w:bCs/>
          <w:kern w:val="0"/>
          <w:sz w:val="27"/>
          <w:szCs w:val="27"/>
          <w14:ligatures w14:val="none"/>
        </w:rPr>
        <w:t>Re: Week 5 Discussion 1: Sexual and Gender Diversity (SGD)</w:t>
      </w:r>
    </w:p>
    <w:p w14:paraId="24E0642F"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kern w:val="0"/>
          <w:sz w:val="24"/>
          <w:szCs w:val="24"/>
          <w14:ligatures w14:val="none"/>
        </w:rPr>
        <w:t>by </w:t>
      </w:r>
      <w:hyperlink r:id="rId4" w:history="1">
        <w:r w:rsidRPr="005035B3">
          <w:rPr>
            <w:rFonts w:ascii="Times New Roman" w:eastAsia="Times New Roman" w:hAnsi="Times New Roman" w:cs="Times New Roman"/>
            <w:color w:val="0000FF"/>
            <w:kern w:val="0"/>
            <w:sz w:val="24"/>
            <w:szCs w:val="24"/>
            <w:u w:val="single"/>
            <w14:ligatures w14:val="none"/>
          </w:rPr>
          <w:t>Blessing Uzoma</w:t>
        </w:r>
      </w:hyperlink>
      <w:r w:rsidRPr="005035B3">
        <w:rPr>
          <w:rFonts w:ascii="Times New Roman" w:eastAsia="Times New Roman" w:hAnsi="Times New Roman" w:cs="Times New Roman"/>
          <w:kern w:val="0"/>
          <w:sz w:val="24"/>
          <w:szCs w:val="24"/>
          <w14:ligatures w14:val="none"/>
        </w:rPr>
        <w:t> - Wednesday, 31 January 2024, 6:43 PM</w:t>
      </w:r>
    </w:p>
    <w:p w14:paraId="4F701FF6" w14:textId="77777777" w:rsidR="005035B3" w:rsidRPr="005035B3" w:rsidRDefault="005035B3" w:rsidP="005035B3">
      <w:pPr>
        <w:shd w:val="clear" w:color="auto" w:fill="FFFFFF"/>
        <w:spacing w:after="0" w:line="240" w:lineRule="auto"/>
        <w:rPr>
          <w:rFonts w:ascii="Roboto" w:eastAsia="Times New Roman" w:hAnsi="Roboto" w:cs="Times New Roman"/>
          <w:color w:val="1D2125"/>
          <w:kern w:val="0"/>
          <w:sz w:val="23"/>
          <w:szCs w:val="23"/>
          <w14:ligatures w14:val="none"/>
        </w:rPr>
      </w:pPr>
      <w:r w:rsidRPr="005035B3">
        <w:rPr>
          <w:rFonts w:ascii="Roboto" w:eastAsia="Times New Roman" w:hAnsi="Roboto" w:cs="Times New Roman"/>
          <w:b/>
          <w:bCs/>
          <w:color w:val="1D2125"/>
          <w:kern w:val="0"/>
          <w:sz w:val="23"/>
          <w:szCs w:val="23"/>
          <w14:ligatures w14:val="none"/>
        </w:rPr>
        <w:t>How might you as the provider try to increase an SGD patient’s engagement with you as the provider of care? </w:t>
      </w:r>
    </w:p>
    <w:p w14:paraId="1B8705BF" w14:textId="77777777" w:rsidR="005035B3" w:rsidRPr="005035B3" w:rsidRDefault="005035B3" w:rsidP="005035B3">
      <w:pPr>
        <w:shd w:val="clear" w:color="auto" w:fill="FFFFFF"/>
        <w:spacing w:after="0" w:line="240" w:lineRule="auto"/>
        <w:rPr>
          <w:rFonts w:ascii="Roboto" w:eastAsia="Times New Roman" w:hAnsi="Roboto" w:cs="Times New Roman"/>
          <w:color w:val="1D2125"/>
          <w:kern w:val="0"/>
          <w:sz w:val="23"/>
          <w:szCs w:val="23"/>
          <w14:ligatures w14:val="none"/>
        </w:rPr>
      </w:pPr>
      <w:r w:rsidRPr="005035B3">
        <w:rPr>
          <w:rFonts w:ascii="Roboto" w:eastAsia="Times New Roman" w:hAnsi="Roboto" w:cs="Times New Roman"/>
          <w:color w:val="1D2125"/>
          <w:kern w:val="0"/>
          <w:sz w:val="23"/>
          <w:szCs w:val="23"/>
          <w14:ligatures w14:val="none"/>
        </w:rPr>
        <w:br/>
        <w:t>Transgender people suffer significant health disparities due to stigma and discrimination within the healthcare system. Transgender patients typically need specialized medical interventions in addition to usual health care needs (Safer et al., 2016). Barriers that are reported for transgender people are financial, discrimination, lack of cultural competence by health care professionals, health systems (inappropriate electronic records, forms, lab references, clinic facilities), and socioeconomic (transportation, housing, mental health) (Safer et al., 2016). The first step to establishing trust and a safe environment for transgender patients is to affirm the gender that they desire to be addressed as (Cicero et al., 2019). Studies have shown that gender affirmation is a crucial element of the health and well-being of trans individuals (Cicero et al., 2019). In the absence of gender affirmation, trans individuals have a higher likelihood of engaging in risky health behaviors (Cicero et al., 2019).</w:t>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b/>
          <w:bCs/>
          <w:color w:val="1D2125"/>
          <w:kern w:val="0"/>
          <w:sz w:val="23"/>
          <w:szCs w:val="23"/>
          <w14:ligatures w14:val="none"/>
        </w:rPr>
        <w:t>How might the engagement strategies you might use differ when caring for a 14-year-old transgender patient or a 67-year-old gay male with a history of HIV? </w:t>
      </w:r>
    </w:p>
    <w:p w14:paraId="25F44103" w14:textId="77777777" w:rsidR="005035B3" w:rsidRPr="005035B3" w:rsidRDefault="005035B3" w:rsidP="005035B3">
      <w:pPr>
        <w:shd w:val="clear" w:color="auto" w:fill="FFFFFF"/>
        <w:spacing w:after="0" w:line="240" w:lineRule="auto"/>
        <w:rPr>
          <w:rFonts w:ascii="Roboto" w:eastAsia="Times New Roman" w:hAnsi="Roboto" w:cs="Times New Roman"/>
          <w:color w:val="1D2125"/>
          <w:kern w:val="0"/>
          <w:sz w:val="23"/>
          <w:szCs w:val="23"/>
          <w14:ligatures w14:val="none"/>
        </w:rPr>
      </w:pPr>
      <w:r w:rsidRPr="005035B3">
        <w:rPr>
          <w:rFonts w:ascii="Roboto" w:eastAsia="Times New Roman" w:hAnsi="Roboto" w:cs="Times New Roman"/>
          <w:b/>
          <w:bCs/>
          <w:color w:val="1D2125"/>
          <w:kern w:val="0"/>
          <w:sz w:val="23"/>
          <w:szCs w:val="23"/>
          <w14:ligatures w14:val="none"/>
        </w:rPr>
        <w:br/>
      </w:r>
      <w:r w:rsidRPr="005035B3">
        <w:rPr>
          <w:rFonts w:ascii="Roboto" w:eastAsia="Times New Roman" w:hAnsi="Roboto" w:cs="Times New Roman"/>
          <w:color w:val="1D2125"/>
          <w:kern w:val="0"/>
          <w:sz w:val="23"/>
          <w:szCs w:val="23"/>
          <w14:ligatures w14:val="none"/>
        </w:rPr>
        <w:t xml:space="preserve">Engagement strategies will differ when caring for patients that are in different stages of life. An adolescent who is transgender will be in a different developmental stage than an elderly gay male. Srivastava (2023) states that it is important to take an intersectional approach with young people by creating opportunities to provide information and feedback on needs and services, decreasing use of medical language to reduce power differentials, reinforcing the limits of confidentiality to create trust and safety, and integrating diverse ways of knowing and being (p. 250). Elderly sexual and gender diverse patients (SGD) experienced copious amounts of discrimination around their gender and sexual </w:t>
      </w:r>
      <w:proofErr w:type="gramStart"/>
      <w:r w:rsidRPr="005035B3">
        <w:rPr>
          <w:rFonts w:ascii="Roboto" w:eastAsia="Times New Roman" w:hAnsi="Roboto" w:cs="Times New Roman"/>
          <w:color w:val="1D2125"/>
          <w:kern w:val="0"/>
          <w:sz w:val="23"/>
          <w:szCs w:val="23"/>
          <w14:ligatures w14:val="none"/>
        </w:rPr>
        <w:t>identity</w:t>
      </w:r>
      <w:proofErr w:type="gramEnd"/>
      <w:r w:rsidRPr="005035B3">
        <w:rPr>
          <w:rFonts w:ascii="Roboto" w:eastAsia="Times New Roman" w:hAnsi="Roboto" w:cs="Times New Roman"/>
          <w:color w:val="1D2125"/>
          <w:kern w:val="0"/>
          <w:sz w:val="23"/>
          <w:szCs w:val="23"/>
          <w14:ligatures w14:val="none"/>
        </w:rPr>
        <w:t xml:space="preserve"> and it is important for healthcare providers to recognize that these patients require more patience and compassion for them to discuss openly their sexual health. For elderly patients, utilizing the FIRST (family, information, relationship building, safer space, treat together) approach can help the provider to be nonjudgmental, actively listen to patient experiences, and provide compassionate care in collaboration with patients (Srivastava, 2023).</w:t>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b/>
          <w:bCs/>
          <w:color w:val="1D2125"/>
          <w:kern w:val="0"/>
          <w:sz w:val="23"/>
          <w:szCs w:val="23"/>
          <w14:ligatures w14:val="none"/>
        </w:rPr>
        <w:t>How might you frame a person’s experience and current concerns as a patient through a lens of resiliency, rather than through a deficit model?</w:t>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t xml:space="preserve">SGD people experience a disproportionate burden of mental illness due to marginalization and discrimination (Srivastava, 2023). Previous hostile, invasive, or pathologizing experiences experienced by SGD patients contribute to increased anxiety, decreased engagement, guardedness, or defensiveness when accessing care that is not inclusive or validating. The heightened anxiety experienced by SGD people may not represent a mental health disorder but may instead be rational fear given the increased violence faced by this population (Srivastava, 2023). One approach that can be used to promote mental health is to include conversations around resiliency (Srivastava, 2023). Ungar (2011) as cited in </w:t>
      </w:r>
      <w:r w:rsidRPr="005035B3">
        <w:rPr>
          <w:rFonts w:ascii="Roboto" w:eastAsia="Times New Roman" w:hAnsi="Roboto" w:cs="Times New Roman"/>
          <w:color w:val="1D2125"/>
          <w:kern w:val="0"/>
          <w:sz w:val="23"/>
          <w:szCs w:val="23"/>
          <w14:ligatures w14:val="none"/>
        </w:rPr>
        <w:lastRenderedPageBreak/>
        <w:t>Srivastava (2023) stated that resiliency goes beyond personal attributes, it also encompasses the environmental factors that contribute to overcoming adversity (p. 253). Resiliency-based approaches involve exploring supportive interpersonal, cultural, and institutional factors, positive self-esteem, self-efficacy, cognitive ability to mediate stress, self-acceptance, proactive coping, self-care, shamelessness, and spirituality (Srivastava, 2023).</w:t>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t>References:</w:t>
      </w:r>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t>Cicero, E. C., Reisner, S. L., Silva, S. G., Merwin, E. I., Humphreys, J. C. (2019). Healthcare experiences of transgender adults: An integrated mixed research literature review. Advances in Nursing Science, 42(2), 123-138. </w:t>
      </w:r>
      <w:hyperlink r:id="rId5" w:history="1">
        <w:r w:rsidRPr="005035B3">
          <w:rPr>
            <w:rFonts w:ascii="Roboto" w:eastAsia="Times New Roman" w:hAnsi="Roboto" w:cs="Times New Roman"/>
            <w:color w:val="0000FF"/>
            <w:kern w:val="0"/>
            <w:sz w:val="23"/>
            <w:szCs w:val="23"/>
            <w:u w:val="single"/>
            <w14:ligatures w14:val="none"/>
          </w:rPr>
          <w:t>https://doi.org/10.1097/ANS.0000000000000256</w:t>
        </w:r>
      </w:hyperlink>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t xml:space="preserve">Safer, J. D., Coleman, E., Feldman, J., Garofalo, R., Hembree, W., Radix, A., </w:t>
      </w:r>
      <w:proofErr w:type="spellStart"/>
      <w:r w:rsidRPr="005035B3">
        <w:rPr>
          <w:rFonts w:ascii="Roboto" w:eastAsia="Times New Roman" w:hAnsi="Roboto" w:cs="Times New Roman"/>
          <w:color w:val="1D2125"/>
          <w:kern w:val="0"/>
          <w:sz w:val="23"/>
          <w:szCs w:val="23"/>
          <w14:ligatures w14:val="none"/>
        </w:rPr>
        <w:t>Sevelius</w:t>
      </w:r>
      <w:proofErr w:type="spellEnd"/>
      <w:r w:rsidRPr="005035B3">
        <w:rPr>
          <w:rFonts w:ascii="Roboto" w:eastAsia="Times New Roman" w:hAnsi="Roboto" w:cs="Times New Roman"/>
          <w:color w:val="1D2125"/>
          <w:kern w:val="0"/>
          <w:sz w:val="23"/>
          <w:szCs w:val="23"/>
          <w14:ligatures w14:val="none"/>
        </w:rPr>
        <w:t>, J. (2016). Barriers to health care for transgender individuals. Current Opinion in Endocrinology, Diabetes and Obesity, 23(2), 168-171. </w:t>
      </w:r>
      <w:hyperlink r:id="rId6" w:history="1">
        <w:r w:rsidRPr="005035B3">
          <w:rPr>
            <w:rFonts w:ascii="Roboto" w:eastAsia="Times New Roman" w:hAnsi="Roboto" w:cs="Times New Roman"/>
            <w:color w:val="0000FF"/>
            <w:kern w:val="0"/>
            <w:sz w:val="23"/>
            <w:szCs w:val="23"/>
            <w:u w:val="single"/>
            <w14:ligatures w14:val="none"/>
          </w:rPr>
          <w:t>https://doi.org/10.1097/MED.0000000000000227</w:t>
        </w:r>
      </w:hyperlink>
      <w:r w:rsidRPr="005035B3">
        <w:rPr>
          <w:rFonts w:ascii="Roboto" w:eastAsia="Times New Roman" w:hAnsi="Roboto" w:cs="Times New Roman"/>
          <w:color w:val="1D2125"/>
          <w:kern w:val="0"/>
          <w:sz w:val="23"/>
          <w:szCs w:val="23"/>
          <w14:ligatures w14:val="none"/>
        </w:rPr>
        <w:br/>
      </w:r>
      <w:r w:rsidRPr="005035B3">
        <w:rPr>
          <w:rFonts w:ascii="Roboto" w:eastAsia="Times New Roman" w:hAnsi="Roboto" w:cs="Times New Roman"/>
          <w:color w:val="1D2125"/>
          <w:kern w:val="0"/>
          <w:sz w:val="23"/>
          <w:szCs w:val="23"/>
          <w14:ligatures w14:val="none"/>
        </w:rPr>
        <w:br/>
        <w:t>Srivastava, R. H. (2023). The health care professional’s guide to cultural competence (2nd edition). Elsevier.</w:t>
      </w:r>
    </w:p>
    <w:p w14:paraId="266ED4A7" w14:textId="77777777" w:rsidR="005035B3" w:rsidRPr="005035B3" w:rsidRDefault="005035B3" w:rsidP="005035B3">
      <w:pPr>
        <w:shd w:val="clear" w:color="auto" w:fill="FFFFFF"/>
        <w:spacing w:after="0" w:line="240" w:lineRule="auto"/>
        <w:rPr>
          <w:rFonts w:ascii="Roboto" w:eastAsia="Times New Roman" w:hAnsi="Roboto" w:cs="Times New Roman"/>
          <w:i/>
          <w:iCs/>
          <w:color w:val="1D2125"/>
          <w:kern w:val="0"/>
          <w:sz w:val="23"/>
          <w:szCs w:val="23"/>
          <w14:ligatures w14:val="none"/>
        </w:rPr>
      </w:pPr>
      <w:r w:rsidRPr="005035B3">
        <w:rPr>
          <w:rFonts w:ascii="Roboto" w:eastAsia="Times New Roman" w:hAnsi="Roboto" w:cs="Times New Roman"/>
          <w:i/>
          <w:iCs/>
          <w:color w:val="1D2125"/>
          <w:kern w:val="0"/>
          <w:sz w:val="18"/>
          <w:szCs w:val="18"/>
          <w14:ligatures w14:val="none"/>
        </w:rPr>
        <w:t>611 words</w:t>
      </w:r>
    </w:p>
    <w:p w14:paraId="52A243FC" w14:textId="77777777" w:rsidR="005035B3" w:rsidRDefault="005035B3"/>
    <w:p w14:paraId="3E1375CB" w14:textId="77777777" w:rsidR="005035B3" w:rsidRDefault="005035B3"/>
    <w:p w14:paraId="4B511F35" w14:textId="77777777" w:rsidR="005035B3" w:rsidRDefault="005035B3"/>
    <w:p w14:paraId="305A14A0" w14:textId="77777777" w:rsidR="005035B3" w:rsidRDefault="005035B3"/>
    <w:p w14:paraId="6B211F2B" w14:textId="77777777" w:rsidR="005035B3" w:rsidRPr="005035B3" w:rsidRDefault="005035B3" w:rsidP="005035B3">
      <w:pPr>
        <w:spacing w:after="0" w:line="240" w:lineRule="auto"/>
        <w:outlineLvl w:val="2"/>
        <w:rPr>
          <w:rFonts w:ascii="var(--font-family-display)" w:eastAsia="Times New Roman" w:hAnsi="var(--font-family-display)" w:cs="Times New Roman"/>
          <w:b/>
          <w:bCs/>
          <w:kern w:val="0"/>
          <w:sz w:val="27"/>
          <w:szCs w:val="27"/>
          <w14:ligatures w14:val="none"/>
        </w:rPr>
      </w:pPr>
      <w:r w:rsidRPr="005035B3">
        <w:rPr>
          <w:rFonts w:ascii="var(--font-family-display)" w:eastAsia="Times New Roman" w:hAnsi="var(--font-family-display)" w:cs="Times New Roman"/>
          <w:b/>
          <w:bCs/>
          <w:kern w:val="0"/>
          <w:sz w:val="27"/>
          <w:szCs w:val="27"/>
          <w14:ligatures w14:val="none"/>
        </w:rPr>
        <w:t>Re: Week 5 Discussion 1: Sexual and Gender Diversity (SGD)</w:t>
      </w:r>
    </w:p>
    <w:p w14:paraId="70B5AA2E"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kern w:val="0"/>
          <w:sz w:val="24"/>
          <w:szCs w:val="24"/>
          <w14:ligatures w14:val="none"/>
        </w:rPr>
        <w:t>by </w:t>
      </w:r>
      <w:hyperlink r:id="rId7" w:history="1">
        <w:r w:rsidRPr="005035B3">
          <w:rPr>
            <w:rFonts w:ascii="Times New Roman" w:eastAsia="Times New Roman" w:hAnsi="Times New Roman" w:cs="Times New Roman"/>
            <w:color w:val="0000FF"/>
            <w:kern w:val="0"/>
            <w:sz w:val="24"/>
            <w:szCs w:val="24"/>
            <w:u w:val="single"/>
            <w14:ligatures w14:val="none"/>
          </w:rPr>
          <w:t>Vanessa Ventura</w:t>
        </w:r>
      </w:hyperlink>
      <w:r w:rsidRPr="005035B3">
        <w:rPr>
          <w:rFonts w:ascii="Times New Roman" w:eastAsia="Times New Roman" w:hAnsi="Times New Roman" w:cs="Times New Roman"/>
          <w:kern w:val="0"/>
          <w:sz w:val="24"/>
          <w:szCs w:val="24"/>
          <w14:ligatures w14:val="none"/>
        </w:rPr>
        <w:t> - Tuesday, 30 January 2024, 8:26 PM</w:t>
      </w:r>
    </w:p>
    <w:p w14:paraId="044EA6C4"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b/>
          <w:bCs/>
          <w:kern w:val="0"/>
          <w:sz w:val="24"/>
          <w:szCs w:val="24"/>
          <w14:ligatures w14:val="none"/>
        </w:rPr>
        <w:br/>
        <w:t>1. How might you as the provider try to increase an SGD patient’s engagement with you as the provider of care?</w:t>
      </w:r>
      <w:r w:rsidRPr="005035B3">
        <w:rPr>
          <w:rFonts w:ascii="Times New Roman" w:eastAsia="Times New Roman" w:hAnsi="Times New Roman" w:cs="Times New Roman"/>
          <w:kern w:val="0"/>
          <w:sz w:val="24"/>
          <w:szCs w:val="24"/>
          <w14:ligatures w14:val="none"/>
        </w:rPr>
        <w:br/>
        <w:t xml:space="preserve">Sexually and gender diverse (SGD) population are those who do not identify as heterosexual or cisgender (Srivastava, 2023). This group of people identify with many different terms including lesbian, gay, bisexual, transgender, non-binary, queer and unlabeled (Srivastava, 2023). </w:t>
      </w:r>
      <w:proofErr w:type="gramStart"/>
      <w:r w:rsidRPr="005035B3">
        <w:rPr>
          <w:rFonts w:ascii="Times New Roman" w:eastAsia="Times New Roman" w:hAnsi="Times New Roman" w:cs="Times New Roman"/>
          <w:kern w:val="0"/>
          <w:sz w:val="24"/>
          <w:szCs w:val="24"/>
          <w14:ligatures w14:val="none"/>
        </w:rPr>
        <w:t>Unfortunately</w:t>
      </w:r>
      <w:proofErr w:type="gramEnd"/>
      <w:r w:rsidRPr="005035B3">
        <w:rPr>
          <w:rFonts w:ascii="Times New Roman" w:eastAsia="Times New Roman" w:hAnsi="Times New Roman" w:cs="Times New Roman"/>
          <w:kern w:val="0"/>
          <w:sz w:val="24"/>
          <w:szCs w:val="24"/>
          <w14:ligatures w14:val="none"/>
        </w:rPr>
        <w:t xml:space="preserve"> the SGD population is under cared for many reasons including their fear of judgement, mistreatment or stigma from the healthcare providers (Srivastava, 2023). Bruxvoort et al. (2023) found that the transgender population had a lower percentage of primary care and were noted to be less likely to be prescribed Pre-exposure prophylaxis despite being appropriate candidates due to risk factors. One way that provider of care can increase engagement with the SGD patient is to discuss with the patient how they identify themselves and to make the space where they are receiving healthcare a “safer space” (Srivastava, 2023). When the provider creates a “safer space” it creates an area that the patient knows they are being respected, not </w:t>
      </w:r>
      <w:proofErr w:type="gramStart"/>
      <w:r w:rsidRPr="005035B3">
        <w:rPr>
          <w:rFonts w:ascii="Times New Roman" w:eastAsia="Times New Roman" w:hAnsi="Times New Roman" w:cs="Times New Roman"/>
          <w:kern w:val="0"/>
          <w:sz w:val="24"/>
          <w:szCs w:val="24"/>
          <w14:ligatures w14:val="none"/>
        </w:rPr>
        <w:t>judged</w:t>
      </w:r>
      <w:proofErr w:type="gramEnd"/>
      <w:r w:rsidRPr="005035B3">
        <w:rPr>
          <w:rFonts w:ascii="Times New Roman" w:eastAsia="Times New Roman" w:hAnsi="Times New Roman" w:cs="Times New Roman"/>
          <w:kern w:val="0"/>
          <w:sz w:val="24"/>
          <w:szCs w:val="24"/>
          <w14:ligatures w14:val="none"/>
        </w:rPr>
        <w:t xml:space="preserve"> and can feel safe to share their concerns (Srivastava, 2023). Another way to increase the SGD patients’ engagement in care is for the provider to maintain a basic knowledge of the SGD </w:t>
      </w:r>
      <w:r w:rsidRPr="005035B3">
        <w:rPr>
          <w:rFonts w:ascii="Times New Roman" w:eastAsia="Times New Roman" w:hAnsi="Times New Roman" w:cs="Times New Roman"/>
          <w:kern w:val="0"/>
          <w:sz w:val="24"/>
          <w:szCs w:val="24"/>
          <w14:ligatures w14:val="none"/>
        </w:rPr>
        <w:lastRenderedPageBreak/>
        <w:t>population in order to provide cultural competent care (Srivastava, 2023</w:t>
      </w:r>
      <w:proofErr w:type="gramStart"/>
      <w:r w:rsidRPr="005035B3">
        <w:rPr>
          <w:rFonts w:ascii="Times New Roman" w:eastAsia="Times New Roman" w:hAnsi="Times New Roman" w:cs="Times New Roman"/>
          <w:kern w:val="0"/>
          <w:sz w:val="24"/>
          <w:szCs w:val="24"/>
          <w14:ligatures w14:val="none"/>
        </w:rPr>
        <w:t>) .</w:t>
      </w:r>
      <w:proofErr w:type="gramEnd"/>
      <w:r w:rsidRPr="005035B3">
        <w:rPr>
          <w:rFonts w:ascii="Times New Roman" w:eastAsia="Times New Roman" w:hAnsi="Times New Roman" w:cs="Times New Roman"/>
          <w:kern w:val="0"/>
          <w:sz w:val="24"/>
          <w:szCs w:val="24"/>
          <w14:ligatures w14:val="none"/>
        </w:rPr>
        <w:t xml:space="preserve"> An additional way to encourage engagement with the SGD people is </w:t>
      </w:r>
      <w:proofErr w:type="gramStart"/>
      <w:r w:rsidRPr="005035B3">
        <w:rPr>
          <w:rFonts w:ascii="Times New Roman" w:eastAsia="Times New Roman" w:hAnsi="Times New Roman" w:cs="Times New Roman"/>
          <w:kern w:val="0"/>
          <w:sz w:val="24"/>
          <w:szCs w:val="24"/>
          <w14:ligatures w14:val="none"/>
        </w:rPr>
        <w:t>use</w:t>
      </w:r>
      <w:proofErr w:type="gramEnd"/>
      <w:r w:rsidRPr="005035B3">
        <w:rPr>
          <w:rFonts w:ascii="Times New Roman" w:eastAsia="Times New Roman" w:hAnsi="Times New Roman" w:cs="Times New Roman"/>
          <w:kern w:val="0"/>
          <w:sz w:val="24"/>
          <w:szCs w:val="24"/>
          <w14:ligatures w14:val="none"/>
        </w:rPr>
        <w:t xml:space="preserve"> gender neutral terms such as spouse, parent, sibling, child, </w:t>
      </w:r>
      <w:proofErr w:type="spellStart"/>
      <w:r w:rsidRPr="005035B3">
        <w:rPr>
          <w:rFonts w:ascii="Times New Roman" w:eastAsia="Times New Roman" w:hAnsi="Times New Roman" w:cs="Times New Roman"/>
          <w:kern w:val="0"/>
          <w:sz w:val="24"/>
          <w:szCs w:val="24"/>
          <w14:ligatures w14:val="none"/>
        </w:rPr>
        <w:t>etc</w:t>
      </w:r>
      <w:proofErr w:type="spellEnd"/>
      <w:r w:rsidRPr="005035B3">
        <w:rPr>
          <w:rFonts w:ascii="Times New Roman" w:eastAsia="Times New Roman" w:hAnsi="Times New Roman" w:cs="Times New Roman"/>
          <w:kern w:val="0"/>
          <w:sz w:val="24"/>
          <w:szCs w:val="24"/>
          <w14:ligatures w14:val="none"/>
        </w:rPr>
        <w:t xml:space="preserve"> (Srivastava, 2023) This helps to creates a welcoming environment for all people. It is important the provider engages the patient in conversation and treatment with respect and kindness to show the patient they are in a supportive place where they can safely receive the care they need.</w:t>
      </w:r>
      <w:r w:rsidRPr="005035B3">
        <w:rPr>
          <w:rFonts w:ascii="Times New Roman" w:eastAsia="Times New Roman" w:hAnsi="Times New Roman" w:cs="Times New Roman"/>
          <w:kern w:val="0"/>
          <w:sz w:val="24"/>
          <w:szCs w:val="24"/>
          <w14:ligatures w14:val="none"/>
        </w:rPr>
        <w:br/>
      </w:r>
    </w:p>
    <w:p w14:paraId="58607103"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b/>
          <w:bCs/>
          <w:kern w:val="0"/>
          <w:sz w:val="24"/>
          <w:szCs w:val="24"/>
          <w14:ligatures w14:val="none"/>
        </w:rPr>
        <w:t>2. How might the engagement strategies you might use differ when caring for a 14-year-old transgender patient or a 67-year-old gay male with a history of HIV?</w:t>
      </w:r>
      <w:r w:rsidRPr="005035B3">
        <w:rPr>
          <w:rFonts w:ascii="Times New Roman" w:eastAsia="Times New Roman" w:hAnsi="Times New Roman" w:cs="Times New Roman"/>
          <w:kern w:val="0"/>
          <w:sz w:val="24"/>
          <w:szCs w:val="24"/>
          <w14:ligatures w14:val="none"/>
        </w:rPr>
        <w:br/>
        <w:t xml:space="preserve">As a healthcare provider, the provider must treat each </w:t>
      </w:r>
      <w:proofErr w:type="gramStart"/>
      <w:r w:rsidRPr="005035B3">
        <w:rPr>
          <w:rFonts w:ascii="Times New Roman" w:eastAsia="Times New Roman" w:hAnsi="Times New Roman" w:cs="Times New Roman"/>
          <w:kern w:val="0"/>
          <w:sz w:val="24"/>
          <w:szCs w:val="24"/>
          <w14:ligatures w14:val="none"/>
        </w:rPr>
        <w:t>patients</w:t>
      </w:r>
      <w:proofErr w:type="gramEnd"/>
      <w:r w:rsidRPr="005035B3">
        <w:rPr>
          <w:rFonts w:ascii="Times New Roman" w:eastAsia="Times New Roman" w:hAnsi="Times New Roman" w:cs="Times New Roman"/>
          <w:kern w:val="0"/>
          <w:sz w:val="24"/>
          <w:szCs w:val="24"/>
          <w14:ligatures w14:val="none"/>
        </w:rPr>
        <w:t xml:space="preserve"> as the unique individual that they are. For many people who identify with the SGD population, the provider should ensure that they spend time with the patient to discuss any concerns or fears of factors that can contribute to the patients’ care (S, 2023). The provider should ask open ended respectful questions and not make assumptions about the patient (Srivastava, 2023). When caring for a </w:t>
      </w:r>
      <w:proofErr w:type="gramStart"/>
      <w:r w:rsidRPr="005035B3">
        <w:rPr>
          <w:rFonts w:ascii="Times New Roman" w:eastAsia="Times New Roman" w:hAnsi="Times New Roman" w:cs="Times New Roman"/>
          <w:kern w:val="0"/>
          <w:sz w:val="24"/>
          <w:szCs w:val="24"/>
          <w14:ligatures w14:val="none"/>
        </w:rPr>
        <w:t>14 year old</w:t>
      </w:r>
      <w:proofErr w:type="gramEnd"/>
      <w:r w:rsidRPr="005035B3">
        <w:rPr>
          <w:rFonts w:ascii="Times New Roman" w:eastAsia="Times New Roman" w:hAnsi="Times New Roman" w:cs="Times New Roman"/>
          <w:kern w:val="0"/>
          <w:sz w:val="24"/>
          <w:szCs w:val="24"/>
          <w14:ligatures w14:val="none"/>
        </w:rPr>
        <w:t xml:space="preserve"> transgender patient the provider should use an inclusive approach by limiting the use of medical terms, supporting the patient in that they are in a safer space, and provide an affirming approach to concerns related to gender and sexuality (Srivastava, 2023). The health care provider, with the agreement of the 14 year old transgender </w:t>
      </w:r>
      <w:proofErr w:type="gramStart"/>
      <w:r w:rsidRPr="005035B3">
        <w:rPr>
          <w:rFonts w:ascii="Times New Roman" w:eastAsia="Times New Roman" w:hAnsi="Times New Roman" w:cs="Times New Roman"/>
          <w:kern w:val="0"/>
          <w:sz w:val="24"/>
          <w:szCs w:val="24"/>
          <w14:ligatures w14:val="none"/>
        </w:rPr>
        <w:t>patient ,</w:t>
      </w:r>
      <w:proofErr w:type="gramEnd"/>
      <w:r w:rsidRPr="005035B3">
        <w:rPr>
          <w:rFonts w:ascii="Times New Roman" w:eastAsia="Times New Roman" w:hAnsi="Times New Roman" w:cs="Times New Roman"/>
          <w:kern w:val="0"/>
          <w:sz w:val="24"/>
          <w:szCs w:val="24"/>
          <w14:ligatures w14:val="none"/>
        </w:rPr>
        <w:t xml:space="preserve"> can include the family and social support to care for the patient and especially support their mental health (Srivastava, 2023).</w:t>
      </w:r>
      <w:r w:rsidRPr="005035B3">
        <w:rPr>
          <w:rFonts w:ascii="Times New Roman" w:eastAsia="Times New Roman" w:hAnsi="Times New Roman" w:cs="Times New Roman"/>
          <w:kern w:val="0"/>
          <w:sz w:val="24"/>
          <w:szCs w:val="24"/>
          <w14:ligatures w14:val="none"/>
        </w:rPr>
        <w:br/>
        <w:t xml:space="preserve">In caring for a 67 year old gay male with a history of HIV, the provider should provide the same respect and open safer space for this patient. The provider should identify that this patient has likely has a trauma from experiencing a stigma or discrimination in the past due to previous historical events (Srivastava, 2023). The provider should perform a detailed history to evaluate the care that the patient has received and </w:t>
      </w:r>
      <w:proofErr w:type="gramStart"/>
      <w:r w:rsidRPr="005035B3">
        <w:rPr>
          <w:rFonts w:ascii="Times New Roman" w:eastAsia="Times New Roman" w:hAnsi="Times New Roman" w:cs="Times New Roman"/>
          <w:kern w:val="0"/>
          <w:sz w:val="24"/>
          <w:szCs w:val="24"/>
          <w14:ligatures w14:val="none"/>
        </w:rPr>
        <w:t>was is</w:t>
      </w:r>
      <w:proofErr w:type="gramEnd"/>
      <w:r w:rsidRPr="005035B3">
        <w:rPr>
          <w:rFonts w:ascii="Times New Roman" w:eastAsia="Times New Roman" w:hAnsi="Times New Roman" w:cs="Times New Roman"/>
          <w:kern w:val="0"/>
          <w:sz w:val="24"/>
          <w:szCs w:val="24"/>
          <w14:ligatures w14:val="none"/>
        </w:rPr>
        <w:t xml:space="preserve"> needed for this patient (Srivastava, 2023). The provider should have a goals of care conversation with the patient to ensure that they have </w:t>
      </w:r>
      <w:proofErr w:type="gramStart"/>
      <w:r w:rsidRPr="005035B3">
        <w:rPr>
          <w:rFonts w:ascii="Times New Roman" w:eastAsia="Times New Roman" w:hAnsi="Times New Roman" w:cs="Times New Roman"/>
          <w:kern w:val="0"/>
          <w:sz w:val="24"/>
          <w:szCs w:val="24"/>
          <w14:ligatures w14:val="none"/>
        </w:rPr>
        <w:t>a the</w:t>
      </w:r>
      <w:proofErr w:type="gramEnd"/>
      <w:r w:rsidRPr="005035B3">
        <w:rPr>
          <w:rFonts w:ascii="Times New Roman" w:eastAsia="Times New Roman" w:hAnsi="Times New Roman" w:cs="Times New Roman"/>
          <w:kern w:val="0"/>
          <w:sz w:val="24"/>
          <w:szCs w:val="24"/>
          <w14:ligatures w14:val="none"/>
        </w:rPr>
        <w:t xml:space="preserve"> healthcare proxy of their choice appointed on the appropriate paperwork (Srivastava, 2023). This is a population that would benefit from a complete mental health exam to evaluate past trauma and support the patient in living a </w:t>
      </w:r>
      <w:proofErr w:type="gramStart"/>
      <w:r w:rsidRPr="005035B3">
        <w:rPr>
          <w:rFonts w:ascii="Times New Roman" w:eastAsia="Times New Roman" w:hAnsi="Times New Roman" w:cs="Times New Roman"/>
          <w:kern w:val="0"/>
          <w:sz w:val="24"/>
          <w:szCs w:val="24"/>
          <w14:ligatures w14:val="none"/>
        </w:rPr>
        <w:t>high quality</w:t>
      </w:r>
      <w:proofErr w:type="gramEnd"/>
      <w:r w:rsidRPr="005035B3">
        <w:rPr>
          <w:rFonts w:ascii="Times New Roman" w:eastAsia="Times New Roman" w:hAnsi="Times New Roman" w:cs="Times New Roman"/>
          <w:kern w:val="0"/>
          <w:sz w:val="24"/>
          <w:szCs w:val="24"/>
          <w14:ligatures w14:val="none"/>
        </w:rPr>
        <w:t xml:space="preserve"> life in the future (Srivastava, 2023).</w:t>
      </w:r>
      <w:r w:rsidRPr="005035B3">
        <w:rPr>
          <w:rFonts w:ascii="Times New Roman" w:eastAsia="Times New Roman" w:hAnsi="Times New Roman" w:cs="Times New Roman"/>
          <w:kern w:val="0"/>
          <w:sz w:val="24"/>
          <w:szCs w:val="24"/>
          <w14:ligatures w14:val="none"/>
        </w:rPr>
        <w:br/>
      </w:r>
      <w:r w:rsidRPr="005035B3">
        <w:rPr>
          <w:rFonts w:ascii="Times New Roman" w:eastAsia="Times New Roman" w:hAnsi="Times New Roman" w:cs="Times New Roman"/>
          <w:kern w:val="0"/>
          <w:sz w:val="24"/>
          <w:szCs w:val="24"/>
          <w14:ligatures w14:val="none"/>
        </w:rPr>
        <w:br/>
      </w:r>
      <w:r w:rsidRPr="005035B3">
        <w:rPr>
          <w:rFonts w:ascii="Times New Roman" w:eastAsia="Times New Roman" w:hAnsi="Times New Roman" w:cs="Times New Roman"/>
          <w:b/>
          <w:bCs/>
          <w:kern w:val="0"/>
          <w:sz w:val="24"/>
          <w:szCs w:val="24"/>
          <w14:ligatures w14:val="none"/>
        </w:rPr>
        <w:t>3. How might you frame a person’s experience and current concerns as a patient through a lens of resiliency, rather than through a deficit model?</w:t>
      </w:r>
      <w:r w:rsidRPr="005035B3">
        <w:rPr>
          <w:rFonts w:ascii="Times New Roman" w:eastAsia="Times New Roman" w:hAnsi="Times New Roman" w:cs="Times New Roman"/>
          <w:kern w:val="0"/>
          <w:sz w:val="24"/>
          <w:szCs w:val="24"/>
          <w14:ligatures w14:val="none"/>
        </w:rPr>
        <w:br/>
        <w:t xml:space="preserve">When </w:t>
      </w:r>
      <w:proofErr w:type="gramStart"/>
      <w:r w:rsidRPr="005035B3">
        <w:rPr>
          <w:rFonts w:ascii="Times New Roman" w:eastAsia="Times New Roman" w:hAnsi="Times New Roman" w:cs="Times New Roman"/>
          <w:kern w:val="0"/>
          <w:sz w:val="24"/>
          <w:szCs w:val="24"/>
          <w14:ligatures w14:val="none"/>
        </w:rPr>
        <w:t>a</w:t>
      </w:r>
      <w:proofErr w:type="gramEnd"/>
      <w:r w:rsidRPr="005035B3">
        <w:rPr>
          <w:rFonts w:ascii="Times New Roman" w:eastAsia="Times New Roman" w:hAnsi="Times New Roman" w:cs="Times New Roman"/>
          <w:kern w:val="0"/>
          <w:sz w:val="24"/>
          <w:szCs w:val="24"/>
          <w14:ligatures w14:val="none"/>
        </w:rPr>
        <w:t xml:space="preserve"> SGD patient presents with a mental health concern, the provider can provide support through resiliency (Srivastava, 2023). Resiliency is the patients’ ability to cope with difficulties and improves over time by addressing mental health concerns and the environmental (Srivastava, 2023). Rivas et al. (2022) interviewed a transgender population who reported that resiliency to them was the ability to cope with adversity in a healthy way. The provider can use resiliency to address mental health issues by developing supportive systems through interpersonal relationships, identifying </w:t>
      </w:r>
      <w:proofErr w:type="gramStart"/>
      <w:r w:rsidRPr="005035B3">
        <w:rPr>
          <w:rFonts w:ascii="Times New Roman" w:eastAsia="Times New Roman" w:hAnsi="Times New Roman" w:cs="Times New Roman"/>
          <w:kern w:val="0"/>
          <w:sz w:val="24"/>
          <w:szCs w:val="24"/>
          <w14:ligatures w14:val="none"/>
        </w:rPr>
        <w:t>a</w:t>
      </w:r>
      <w:proofErr w:type="gramEnd"/>
      <w:r w:rsidRPr="005035B3">
        <w:rPr>
          <w:rFonts w:ascii="Times New Roman" w:eastAsia="Times New Roman" w:hAnsi="Times New Roman" w:cs="Times New Roman"/>
          <w:kern w:val="0"/>
          <w:sz w:val="24"/>
          <w:szCs w:val="24"/>
          <w14:ligatures w14:val="none"/>
        </w:rPr>
        <w:t xml:space="preserve"> SGD mentor, positive SGD representation in the media (Srivastava, 2023). Rivas </w:t>
      </w:r>
      <w:proofErr w:type="spellStart"/>
      <w:r w:rsidRPr="005035B3">
        <w:rPr>
          <w:rFonts w:ascii="Times New Roman" w:eastAsia="Times New Roman" w:hAnsi="Times New Roman" w:cs="Times New Roman"/>
          <w:kern w:val="0"/>
          <w:sz w:val="24"/>
          <w:szCs w:val="24"/>
          <w14:ligatures w14:val="none"/>
        </w:rPr>
        <w:t>el</w:t>
      </w:r>
      <w:proofErr w:type="spellEnd"/>
      <w:r w:rsidRPr="005035B3">
        <w:rPr>
          <w:rFonts w:ascii="Times New Roman" w:eastAsia="Times New Roman" w:hAnsi="Times New Roman" w:cs="Times New Roman"/>
          <w:kern w:val="0"/>
          <w:sz w:val="24"/>
          <w:szCs w:val="24"/>
          <w14:ligatures w14:val="none"/>
        </w:rPr>
        <w:t xml:space="preserve"> al. (2022) research supported assisting the transgender population with identifying means to resources for care including mental health care to ways to proceed with gender affirming surgery. This is helpful as it helps the person address and build on their mental health issues to find support in the face of adversity (Srivastava, 2023). This is different than</w:t>
      </w:r>
      <w:r w:rsidRPr="005035B3">
        <w:rPr>
          <w:rFonts w:ascii="Times New Roman" w:eastAsia="Times New Roman" w:hAnsi="Times New Roman" w:cs="Times New Roman"/>
          <w:kern w:val="0"/>
          <w:sz w:val="24"/>
          <w:szCs w:val="24"/>
          <w14:ligatures w14:val="none"/>
        </w:rPr>
        <w:br/>
      </w:r>
      <w:r w:rsidRPr="005035B3">
        <w:rPr>
          <w:rFonts w:ascii="Times New Roman" w:eastAsia="Times New Roman" w:hAnsi="Times New Roman" w:cs="Times New Roman"/>
          <w:kern w:val="0"/>
          <w:sz w:val="24"/>
          <w:szCs w:val="24"/>
          <w14:ligatures w14:val="none"/>
        </w:rPr>
        <w:br/>
      </w:r>
    </w:p>
    <w:p w14:paraId="06DC68B2" w14:textId="77777777" w:rsidR="005035B3" w:rsidRPr="005035B3" w:rsidRDefault="005035B3" w:rsidP="005035B3">
      <w:pPr>
        <w:spacing w:after="100" w:afterAutospacing="1" w:line="240" w:lineRule="auto"/>
        <w:jc w:val="center"/>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b/>
          <w:bCs/>
          <w:kern w:val="0"/>
          <w:sz w:val="24"/>
          <w:szCs w:val="24"/>
          <w14:ligatures w14:val="none"/>
        </w:rPr>
        <w:t>References</w:t>
      </w:r>
    </w:p>
    <w:p w14:paraId="50A917A8"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kern w:val="0"/>
          <w:sz w:val="24"/>
          <w:szCs w:val="24"/>
          <w14:ligatures w14:val="none"/>
        </w:rPr>
        <w:lastRenderedPageBreak/>
        <w:t>Bruxvoort, K., Portugal, C., Munis, M., Pak, K., &amp; Hechter, R. (2023). Understanding barriers and facilitators of pre-exposure prophylaxis (</w:t>
      </w:r>
      <w:proofErr w:type="spellStart"/>
      <w:r w:rsidRPr="005035B3">
        <w:rPr>
          <w:rFonts w:ascii="Times New Roman" w:eastAsia="Times New Roman" w:hAnsi="Times New Roman" w:cs="Times New Roman"/>
          <w:kern w:val="0"/>
          <w:sz w:val="24"/>
          <w:szCs w:val="24"/>
          <w14:ligatures w14:val="none"/>
        </w:rPr>
        <w:t>PrEP</w:t>
      </w:r>
      <w:proofErr w:type="spellEnd"/>
      <w:r w:rsidRPr="005035B3">
        <w:rPr>
          <w:rFonts w:ascii="Times New Roman" w:eastAsia="Times New Roman" w:hAnsi="Times New Roman" w:cs="Times New Roman"/>
          <w:kern w:val="0"/>
          <w:sz w:val="24"/>
          <w:szCs w:val="24"/>
          <w14:ligatures w14:val="none"/>
        </w:rPr>
        <w:t>) among transgender and gender diverse adults in an integrated health care system. AIDS &amp; Behavior, 27(8), 2579-2591. </w:t>
      </w:r>
      <w:hyperlink r:id="rId8" w:history="1">
        <w:r w:rsidRPr="005035B3">
          <w:rPr>
            <w:rFonts w:ascii="Times New Roman" w:eastAsia="Times New Roman" w:hAnsi="Times New Roman" w:cs="Times New Roman"/>
            <w:color w:val="0000FF"/>
            <w:kern w:val="0"/>
            <w:sz w:val="24"/>
            <w:szCs w:val="24"/>
            <w:u w:val="single"/>
            <w14:ligatures w14:val="none"/>
          </w:rPr>
          <w:t>https://doi-org.regiscollege.idm.oclc.org/10.1007/s10461-023-03983-8</w:t>
        </w:r>
      </w:hyperlink>
    </w:p>
    <w:p w14:paraId="01FD5B35"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kern w:val="0"/>
          <w:sz w:val="24"/>
          <w:szCs w:val="24"/>
          <w14:ligatures w14:val="none"/>
        </w:rPr>
        <w:br/>
        <w:t>Rivas, D. E., Reyes-Estrada, M., Ramos-</w:t>
      </w:r>
      <w:proofErr w:type="spellStart"/>
      <w:r w:rsidRPr="005035B3">
        <w:rPr>
          <w:rFonts w:ascii="Times New Roman" w:eastAsia="Times New Roman" w:hAnsi="Times New Roman" w:cs="Times New Roman"/>
          <w:kern w:val="0"/>
          <w:sz w:val="24"/>
          <w:szCs w:val="24"/>
          <w14:ligatures w14:val="none"/>
        </w:rPr>
        <w:t>Pibernus</w:t>
      </w:r>
      <w:proofErr w:type="spellEnd"/>
      <w:r w:rsidRPr="005035B3">
        <w:rPr>
          <w:rFonts w:ascii="Times New Roman" w:eastAsia="Times New Roman" w:hAnsi="Times New Roman" w:cs="Times New Roman"/>
          <w:kern w:val="0"/>
          <w:sz w:val="24"/>
          <w:szCs w:val="24"/>
          <w14:ligatures w14:val="none"/>
        </w:rPr>
        <w:t xml:space="preserve">, A., García-Justiniano, N., &amp; Coriano-Ortiz, E. (2023). Defining resiliency as a trans and nonbinary person in </w:t>
      </w:r>
      <w:proofErr w:type="spellStart"/>
      <w:r w:rsidRPr="005035B3">
        <w:rPr>
          <w:rFonts w:ascii="Times New Roman" w:eastAsia="Times New Roman" w:hAnsi="Times New Roman" w:cs="Times New Roman"/>
          <w:kern w:val="0"/>
          <w:sz w:val="24"/>
          <w:szCs w:val="24"/>
          <w14:ligatures w14:val="none"/>
        </w:rPr>
        <w:t>puerto</w:t>
      </w:r>
      <w:proofErr w:type="spellEnd"/>
      <w:r w:rsidRPr="005035B3">
        <w:rPr>
          <w:rFonts w:ascii="Times New Roman" w:eastAsia="Times New Roman" w:hAnsi="Times New Roman" w:cs="Times New Roman"/>
          <w:kern w:val="0"/>
          <w:sz w:val="24"/>
          <w:szCs w:val="24"/>
          <w14:ligatures w14:val="none"/>
        </w:rPr>
        <w:t xml:space="preserve"> </w:t>
      </w:r>
      <w:proofErr w:type="spellStart"/>
      <w:r w:rsidRPr="005035B3">
        <w:rPr>
          <w:rFonts w:ascii="Times New Roman" w:eastAsia="Times New Roman" w:hAnsi="Times New Roman" w:cs="Times New Roman"/>
          <w:kern w:val="0"/>
          <w:sz w:val="24"/>
          <w:szCs w:val="24"/>
          <w14:ligatures w14:val="none"/>
        </w:rPr>
        <w:t>rico</w:t>
      </w:r>
      <w:proofErr w:type="spellEnd"/>
      <w:r w:rsidRPr="005035B3">
        <w:rPr>
          <w:rFonts w:ascii="Times New Roman" w:eastAsia="Times New Roman" w:hAnsi="Times New Roman" w:cs="Times New Roman"/>
          <w:kern w:val="0"/>
          <w:sz w:val="24"/>
          <w:szCs w:val="24"/>
          <w14:ligatures w14:val="none"/>
        </w:rPr>
        <w:t xml:space="preserve">: A grounded theory approach. Puerto Rican Journal of Psychology / </w:t>
      </w:r>
      <w:proofErr w:type="spellStart"/>
      <w:r w:rsidRPr="005035B3">
        <w:rPr>
          <w:rFonts w:ascii="Times New Roman" w:eastAsia="Times New Roman" w:hAnsi="Times New Roman" w:cs="Times New Roman"/>
          <w:kern w:val="0"/>
          <w:sz w:val="24"/>
          <w:szCs w:val="24"/>
          <w14:ligatures w14:val="none"/>
        </w:rPr>
        <w:t>Revista</w:t>
      </w:r>
      <w:proofErr w:type="spellEnd"/>
      <w:r w:rsidRPr="005035B3">
        <w:rPr>
          <w:rFonts w:ascii="Times New Roman" w:eastAsia="Times New Roman" w:hAnsi="Times New Roman" w:cs="Times New Roman"/>
          <w:kern w:val="0"/>
          <w:sz w:val="24"/>
          <w:szCs w:val="24"/>
          <w14:ligatures w14:val="none"/>
        </w:rPr>
        <w:t xml:space="preserve"> </w:t>
      </w:r>
      <w:proofErr w:type="spellStart"/>
      <w:r w:rsidRPr="005035B3">
        <w:rPr>
          <w:rFonts w:ascii="Times New Roman" w:eastAsia="Times New Roman" w:hAnsi="Times New Roman" w:cs="Times New Roman"/>
          <w:kern w:val="0"/>
          <w:sz w:val="24"/>
          <w:szCs w:val="24"/>
          <w14:ligatures w14:val="none"/>
        </w:rPr>
        <w:t>Puertorriqueña</w:t>
      </w:r>
      <w:proofErr w:type="spellEnd"/>
      <w:r w:rsidRPr="005035B3">
        <w:rPr>
          <w:rFonts w:ascii="Times New Roman" w:eastAsia="Times New Roman" w:hAnsi="Times New Roman" w:cs="Times New Roman"/>
          <w:kern w:val="0"/>
          <w:sz w:val="24"/>
          <w:szCs w:val="24"/>
          <w14:ligatures w14:val="none"/>
        </w:rPr>
        <w:t xml:space="preserve"> De </w:t>
      </w:r>
      <w:proofErr w:type="spellStart"/>
      <w:r w:rsidRPr="005035B3">
        <w:rPr>
          <w:rFonts w:ascii="Times New Roman" w:eastAsia="Times New Roman" w:hAnsi="Times New Roman" w:cs="Times New Roman"/>
          <w:kern w:val="0"/>
          <w:sz w:val="24"/>
          <w:szCs w:val="24"/>
          <w14:ligatures w14:val="none"/>
        </w:rPr>
        <w:t>Psicología</w:t>
      </w:r>
      <w:proofErr w:type="spellEnd"/>
      <w:r w:rsidRPr="005035B3">
        <w:rPr>
          <w:rFonts w:ascii="Times New Roman" w:eastAsia="Times New Roman" w:hAnsi="Times New Roman" w:cs="Times New Roman"/>
          <w:kern w:val="0"/>
          <w:sz w:val="24"/>
          <w:szCs w:val="24"/>
          <w14:ligatures w14:val="none"/>
        </w:rPr>
        <w:t>, 34(1), 124-141. </w:t>
      </w:r>
      <w:hyperlink r:id="rId9" w:history="1">
        <w:r w:rsidRPr="005035B3">
          <w:rPr>
            <w:rFonts w:ascii="Times New Roman" w:eastAsia="Times New Roman" w:hAnsi="Times New Roman" w:cs="Times New Roman"/>
            <w:color w:val="0000FF"/>
            <w:kern w:val="0"/>
            <w:sz w:val="24"/>
            <w:szCs w:val="24"/>
            <w:u w:val="single"/>
            <w14:ligatures w14:val="none"/>
          </w:rPr>
          <w:t>https://doi-org.regiscollege.idm.oclc.org/10.55611/reps.3401.09</w:t>
        </w:r>
      </w:hyperlink>
    </w:p>
    <w:p w14:paraId="6FA0A531"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r w:rsidRPr="005035B3">
        <w:rPr>
          <w:rFonts w:ascii="Times New Roman" w:eastAsia="Times New Roman" w:hAnsi="Times New Roman" w:cs="Times New Roman"/>
          <w:kern w:val="0"/>
          <w:sz w:val="24"/>
          <w:szCs w:val="24"/>
          <w14:ligatures w14:val="none"/>
        </w:rPr>
        <w:br/>
        <w:t>Srivastava, R. H. (2023). The health care professional's guide to cultural competence (Second edition ed.). Elsevier.</w:t>
      </w:r>
    </w:p>
    <w:p w14:paraId="00EE37B4" w14:textId="77777777" w:rsidR="005035B3" w:rsidRPr="005035B3" w:rsidRDefault="005035B3" w:rsidP="005035B3">
      <w:pPr>
        <w:spacing w:after="0" w:line="240" w:lineRule="auto"/>
        <w:rPr>
          <w:rFonts w:ascii="Times New Roman" w:eastAsia="Times New Roman" w:hAnsi="Times New Roman" w:cs="Times New Roman"/>
          <w:i/>
          <w:iCs/>
          <w:kern w:val="0"/>
          <w:sz w:val="24"/>
          <w:szCs w:val="24"/>
          <w14:ligatures w14:val="none"/>
        </w:rPr>
      </w:pPr>
      <w:r w:rsidRPr="005035B3">
        <w:rPr>
          <w:rFonts w:ascii="Times New Roman" w:eastAsia="Times New Roman" w:hAnsi="Times New Roman" w:cs="Times New Roman"/>
          <w:i/>
          <w:iCs/>
          <w:kern w:val="0"/>
          <w:sz w:val="18"/>
          <w:szCs w:val="18"/>
          <w14:ligatures w14:val="none"/>
        </w:rPr>
        <w:t>891 words</w:t>
      </w:r>
    </w:p>
    <w:p w14:paraId="4DDB91FD" w14:textId="77777777" w:rsidR="005035B3" w:rsidRPr="005035B3" w:rsidRDefault="005035B3" w:rsidP="005035B3">
      <w:pPr>
        <w:spacing w:after="0" w:line="240" w:lineRule="auto"/>
        <w:rPr>
          <w:rFonts w:ascii="Times New Roman" w:eastAsia="Times New Roman" w:hAnsi="Times New Roman" w:cs="Times New Roman"/>
          <w:kern w:val="0"/>
          <w:sz w:val="24"/>
          <w:szCs w:val="24"/>
          <w14:ligatures w14:val="none"/>
        </w:rPr>
      </w:pPr>
      <w:hyperlink r:id="rId10" w:anchor="p1806578" w:tooltip="Permanent link to this post" w:history="1">
        <w:proofErr w:type="spellStart"/>
        <w:r w:rsidRPr="005035B3">
          <w:rPr>
            <w:rFonts w:ascii="Times New Roman" w:eastAsia="Times New Roman" w:hAnsi="Times New Roman" w:cs="Times New Roman"/>
            <w:color w:val="0000FF"/>
            <w:kern w:val="0"/>
            <w:sz w:val="24"/>
            <w:szCs w:val="24"/>
            <w:u w:val="single"/>
            <w14:ligatures w14:val="none"/>
          </w:rPr>
          <w:t>Permalink</w:t>
        </w:r>
      </w:hyperlink>
      <w:hyperlink r:id="rId11" w:anchor="p1772709" w:tooltip="Permanent link to the parent of this post" w:history="1">
        <w:r w:rsidRPr="005035B3">
          <w:rPr>
            <w:rFonts w:ascii="Times New Roman" w:eastAsia="Times New Roman" w:hAnsi="Times New Roman" w:cs="Times New Roman"/>
            <w:color w:val="0000FF"/>
            <w:kern w:val="0"/>
            <w:sz w:val="24"/>
            <w:szCs w:val="24"/>
            <w:u w:val="single"/>
            <w14:ligatures w14:val="none"/>
          </w:rPr>
          <w:t>Show</w:t>
        </w:r>
        <w:proofErr w:type="spellEnd"/>
        <w:r w:rsidRPr="005035B3">
          <w:rPr>
            <w:rFonts w:ascii="Times New Roman" w:eastAsia="Times New Roman" w:hAnsi="Times New Roman" w:cs="Times New Roman"/>
            <w:color w:val="0000FF"/>
            <w:kern w:val="0"/>
            <w:sz w:val="24"/>
            <w:szCs w:val="24"/>
            <w:u w:val="single"/>
            <w14:ligatures w14:val="none"/>
          </w:rPr>
          <w:t xml:space="preserve"> </w:t>
        </w:r>
        <w:proofErr w:type="spellStart"/>
        <w:r w:rsidRPr="005035B3">
          <w:rPr>
            <w:rFonts w:ascii="Times New Roman" w:eastAsia="Times New Roman" w:hAnsi="Times New Roman" w:cs="Times New Roman"/>
            <w:color w:val="0000FF"/>
            <w:kern w:val="0"/>
            <w:sz w:val="24"/>
            <w:szCs w:val="24"/>
            <w:u w:val="single"/>
            <w14:ligatures w14:val="none"/>
          </w:rPr>
          <w:t>parent</w:t>
        </w:r>
      </w:hyperlink>
      <w:hyperlink r:id="rId12" w:anchor="mformforum" w:tooltip="Reply" w:history="1">
        <w:r w:rsidRPr="005035B3">
          <w:rPr>
            <w:rFonts w:ascii="Times New Roman" w:eastAsia="Times New Roman" w:hAnsi="Times New Roman" w:cs="Times New Roman"/>
            <w:color w:val="0000FF"/>
            <w:kern w:val="0"/>
            <w:sz w:val="24"/>
            <w:szCs w:val="24"/>
            <w:u w:val="single"/>
            <w14:ligatures w14:val="none"/>
          </w:rPr>
          <w:t>Reply</w:t>
        </w:r>
        <w:proofErr w:type="spellEnd"/>
      </w:hyperlink>
    </w:p>
    <w:p w14:paraId="4DDBDB86" w14:textId="77777777" w:rsidR="005035B3" w:rsidRDefault="005035B3"/>
    <w:sectPr w:rsidR="0050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B3"/>
    <w:rsid w:val="0050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EBEE"/>
  <w15:chartTrackingRefBased/>
  <w15:docId w15:val="{F34CC401-2C7B-418E-A569-4338216C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4528">
      <w:bodyDiv w:val="1"/>
      <w:marLeft w:val="0"/>
      <w:marRight w:val="0"/>
      <w:marTop w:val="0"/>
      <w:marBottom w:val="0"/>
      <w:divBdr>
        <w:top w:val="none" w:sz="0" w:space="0" w:color="auto"/>
        <w:left w:val="none" w:sz="0" w:space="0" w:color="auto"/>
        <w:bottom w:val="none" w:sz="0" w:space="0" w:color="auto"/>
        <w:right w:val="none" w:sz="0" w:space="0" w:color="auto"/>
      </w:divBdr>
      <w:divsChild>
        <w:div w:id="2018069109">
          <w:marLeft w:val="0"/>
          <w:marRight w:val="0"/>
          <w:marTop w:val="0"/>
          <w:marBottom w:val="0"/>
          <w:divBdr>
            <w:top w:val="single" w:sz="6" w:space="5" w:color="DEE2E6"/>
            <w:left w:val="single" w:sz="6" w:space="5" w:color="DEE2E6"/>
            <w:bottom w:val="single" w:sz="6" w:space="5" w:color="DEE2E6"/>
            <w:right w:val="single" w:sz="6" w:space="5" w:color="DEE2E6"/>
          </w:divBdr>
          <w:divsChild>
            <w:div w:id="1302617501">
              <w:marLeft w:val="0"/>
              <w:marRight w:val="0"/>
              <w:marTop w:val="0"/>
              <w:marBottom w:val="0"/>
              <w:divBdr>
                <w:top w:val="none" w:sz="0" w:space="0" w:color="auto"/>
                <w:left w:val="none" w:sz="0" w:space="0" w:color="auto"/>
                <w:bottom w:val="none" w:sz="0" w:space="0" w:color="auto"/>
                <w:right w:val="none" w:sz="0" w:space="0" w:color="auto"/>
              </w:divBdr>
              <w:divsChild>
                <w:div w:id="360207710">
                  <w:marLeft w:val="0"/>
                  <w:marRight w:val="0"/>
                  <w:marTop w:val="0"/>
                  <w:marBottom w:val="0"/>
                  <w:divBdr>
                    <w:top w:val="none" w:sz="0" w:space="0" w:color="auto"/>
                    <w:left w:val="none" w:sz="0" w:space="0" w:color="auto"/>
                    <w:bottom w:val="none" w:sz="0" w:space="0" w:color="auto"/>
                    <w:right w:val="none" w:sz="0" w:space="0" w:color="auto"/>
                  </w:divBdr>
                  <w:divsChild>
                    <w:div w:id="1475638110">
                      <w:marLeft w:val="0"/>
                      <w:marRight w:val="0"/>
                      <w:marTop w:val="0"/>
                      <w:marBottom w:val="0"/>
                      <w:divBdr>
                        <w:top w:val="none" w:sz="0" w:space="0" w:color="auto"/>
                        <w:left w:val="none" w:sz="0" w:space="0" w:color="auto"/>
                        <w:bottom w:val="none" w:sz="0" w:space="0" w:color="auto"/>
                        <w:right w:val="none" w:sz="0" w:space="0" w:color="auto"/>
                      </w:divBdr>
                    </w:div>
                  </w:divsChild>
                </w:div>
                <w:div w:id="1224289001">
                  <w:marLeft w:val="0"/>
                  <w:marRight w:val="0"/>
                  <w:marTop w:val="0"/>
                  <w:marBottom w:val="0"/>
                  <w:divBdr>
                    <w:top w:val="none" w:sz="0" w:space="0" w:color="auto"/>
                    <w:left w:val="none" w:sz="0" w:space="0" w:color="auto"/>
                    <w:bottom w:val="none" w:sz="0" w:space="0" w:color="auto"/>
                    <w:right w:val="none" w:sz="0" w:space="0" w:color="auto"/>
                  </w:divBdr>
                  <w:divsChild>
                    <w:div w:id="267472266">
                      <w:marLeft w:val="0"/>
                      <w:marRight w:val="0"/>
                      <w:marTop w:val="0"/>
                      <w:marBottom w:val="0"/>
                      <w:divBdr>
                        <w:top w:val="none" w:sz="0" w:space="0" w:color="auto"/>
                        <w:left w:val="none" w:sz="0" w:space="0" w:color="auto"/>
                        <w:bottom w:val="none" w:sz="0" w:space="0" w:color="auto"/>
                        <w:right w:val="none" w:sz="0" w:space="0" w:color="auto"/>
                      </w:divBdr>
                      <w:divsChild>
                        <w:div w:id="1298797526">
                          <w:marLeft w:val="0"/>
                          <w:marRight w:val="0"/>
                          <w:marTop w:val="0"/>
                          <w:marBottom w:val="0"/>
                          <w:divBdr>
                            <w:top w:val="none" w:sz="0" w:space="0" w:color="auto"/>
                            <w:left w:val="none" w:sz="0" w:space="0" w:color="auto"/>
                            <w:bottom w:val="none" w:sz="0" w:space="0" w:color="auto"/>
                            <w:right w:val="none" w:sz="0" w:space="0" w:color="auto"/>
                          </w:divBdr>
                          <w:divsChild>
                            <w:div w:id="638844955">
                              <w:marLeft w:val="0"/>
                              <w:marRight w:val="0"/>
                              <w:marTop w:val="0"/>
                              <w:marBottom w:val="0"/>
                              <w:divBdr>
                                <w:top w:val="none" w:sz="0" w:space="0" w:color="auto"/>
                                <w:left w:val="none" w:sz="0" w:space="0" w:color="auto"/>
                                <w:bottom w:val="none" w:sz="0" w:space="0" w:color="auto"/>
                                <w:right w:val="none" w:sz="0" w:space="0" w:color="auto"/>
                              </w:divBdr>
                            </w:div>
                            <w:div w:id="379983694">
                              <w:marLeft w:val="0"/>
                              <w:marRight w:val="0"/>
                              <w:marTop w:val="0"/>
                              <w:marBottom w:val="0"/>
                              <w:divBdr>
                                <w:top w:val="none" w:sz="0" w:space="0" w:color="auto"/>
                                <w:left w:val="none" w:sz="0" w:space="0" w:color="auto"/>
                                <w:bottom w:val="none" w:sz="0" w:space="0" w:color="auto"/>
                                <w:right w:val="none" w:sz="0" w:space="0" w:color="auto"/>
                              </w:divBdr>
                            </w:div>
                            <w:div w:id="335769709">
                              <w:marLeft w:val="0"/>
                              <w:marRight w:val="0"/>
                              <w:marTop w:val="0"/>
                              <w:marBottom w:val="0"/>
                              <w:divBdr>
                                <w:top w:val="none" w:sz="0" w:space="0" w:color="auto"/>
                                <w:left w:val="none" w:sz="0" w:space="0" w:color="auto"/>
                                <w:bottom w:val="none" w:sz="0" w:space="0" w:color="auto"/>
                                <w:right w:val="none" w:sz="0" w:space="0" w:color="auto"/>
                              </w:divBdr>
                            </w:div>
                            <w:div w:id="1022976466">
                              <w:marLeft w:val="0"/>
                              <w:marRight w:val="0"/>
                              <w:marTop w:val="0"/>
                              <w:marBottom w:val="0"/>
                              <w:divBdr>
                                <w:top w:val="none" w:sz="0" w:space="0" w:color="auto"/>
                                <w:left w:val="none" w:sz="0" w:space="0" w:color="auto"/>
                                <w:bottom w:val="none" w:sz="0" w:space="0" w:color="auto"/>
                                <w:right w:val="none" w:sz="0" w:space="0" w:color="auto"/>
                              </w:divBdr>
                            </w:div>
                          </w:divsChild>
                        </w:div>
                        <w:div w:id="1370639956">
                          <w:marLeft w:val="0"/>
                          <w:marRight w:val="0"/>
                          <w:marTop w:val="0"/>
                          <w:marBottom w:val="0"/>
                          <w:divBdr>
                            <w:top w:val="none" w:sz="0" w:space="0" w:color="auto"/>
                            <w:left w:val="none" w:sz="0" w:space="0" w:color="auto"/>
                            <w:bottom w:val="none" w:sz="0" w:space="0" w:color="auto"/>
                            <w:right w:val="none" w:sz="0" w:space="0" w:color="auto"/>
                          </w:divBdr>
                          <w:divsChild>
                            <w:div w:id="1333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051794">
      <w:bodyDiv w:val="1"/>
      <w:marLeft w:val="0"/>
      <w:marRight w:val="0"/>
      <w:marTop w:val="0"/>
      <w:marBottom w:val="0"/>
      <w:divBdr>
        <w:top w:val="none" w:sz="0" w:space="0" w:color="auto"/>
        <w:left w:val="none" w:sz="0" w:space="0" w:color="auto"/>
        <w:bottom w:val="none" w:sz="0" w:space="0" w:color="auto"/>
        <w:right w:val="none" w:sz="0" w:space="0" w:color="auto"/>
      </w:divBdr>
      <w:divsChild>
        <w:div w:id="1390687615">
          <w:marLeft w:val="0"/>
          <w:marRight w:val="0"/>
          <w:marTop w:val="0"/>
          <w:marBottom w:val="0"/>
          <w:divBdr>
            <w:top w:val="none" w:sz="0" w:space="0" w:color="auto"/>
            <w:left w:val="none" w:sz="0" w:space="0" w:color="auto"/>
            <w:bottom w:val="none" w:sz="0" w:space="0" w:color="auto"/>
            <w:right w:val="none" w:sz="0" w:space="0" w:color="auto"/>
          </w:divBdr>
          <w:divsChild>
            <w:div w:id="589312666">
              <w:marLeft w:val="0"/>
              <w:marRight w:val="0"/>
              <w:marTop w:val="0"/>
              <w:marBottom w:val="0"/>
              <w:divBdr>
                <w:top w:val="none" w:sz="0" w:space="0" w:color="auto"/>
                <w:left w:val="none" w:sz="0" w:space="0" w:color="auto"/>
                <w:bottom w:val="none" w:sz="0" w:space="0" w:color="auto"/>
                <w:right w:val="none" w:sz="0" w:space="0" w:color="auto"/>
              </w:divBdr>
            </w:div>
          </w:divsChild>
        </w:div>
        <w:div w:id="1439834457">
          <w:marLeft w:val="0"/>
          <w:marRight w:val="0"/>
          <w:marTop w:val="0"/>
          <w:marBottom w:val="0"/>
          <w:divBdr>
            <w:top w:val="none" w:sz="0" w:space="0" w:color="auto"/>
            <w:left w:val="none" w:sz="0" w:space="0" w:color="auto"/>
            <w:bottom w:val="none" w:sz="0" w:space="0" w:color="auto"/>
            <w:right w:val="none" w:sz="0" w:space="0" w:color="auto"/>
          </w:divBdr>
          <w:divsChild>
            <w:div w:id="325019430">
              <w:marLeft w:val="0"/>
              <w:marRight w:val="0"/>
              <w:marTop w:val="0"/>
              <w:marBottom w:val="0"/>
              <w:divBdr>
                <w:top w:val="none" w:sz="0" w:space="0" w:color="auto"/>
                <w:left w:val="none" w:sz="0" w:space="0" w:color="auto"/>
                <w:bottom w:val="none" w:sz="0" w:space="0" w:color="auto"/>
                <w:right w:val="none" w:sz="0" w:space="0" w:color="auto"/>
              </w:divBdr>
              <w:divsChild>
                <w:div w:id="1375886288">
                  <w:marLeft w:val="0"/>
                  <w:marRight w:val="0"/>
                  <w:marTop w:val="0"/>
                  <w:marBottom w:val="0"/>
                  <w:divBdr>
                    <w:top w:val="none" w:sz="0" w:space="0" w:color="auto"/>
                    <w:left w:val="none" w:sz="0" w:space="0" w:color="auto"/>
                    <w:bottom w:val="none" w:sz="0" w:space="0" w:color="auto"/>
                    <w:right w:val="none" w:sz="0" w:space="0" w:color="auto"/>
                  </w:divBdr>
                </w:div>
                <w:div w:id="1519202222">
                  <w:marLeft w:val="0"/>
                  <w:marRight w:val="0"/>
                  <w:marTop w:val="0"/>
                  <w:marBottom w:val="0"/>
                  <w:divBdr>
                    <w:top w:val="none" w:sz="0" w:space="0" w:color="auto"/>
                    <w:left w:val="none" w:sz="0" w:space="0" w:color="auto"/>
                    <w:bottom w:val="none" w:sz="0" w:space="0" w:color="auto"/>
                    <w:right w:val="none" w:sz="0" w:space="0" w:color="auto"/>
                  </w:divBdr>
                </w:div>
                <w:div w:id="700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regiscollege.idm.oclc.org/10.1007/s10461-023-03983-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user/view.php?id=8309&amp;course=5381" TargetMode="External"/><Relationship Id="rId12" Type="http://schemas.openxmlformats.org/officeDocument/2006/relationships/hyperlink" Target="https://myonline.regiscollege.edu/mod/forum/post.php?reply=18065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MED.0000000000000227" TargetMode="External"/><Relationship Id="rId11" Type="http://schemas.openxmlformats.org/officeDocument/2006/relationships/hyperlink" Target="https://myonline.regiscollege.edu/mod/forum/discuss.php?d=250294" TargetMode="External"/><Relationship Id="rId5" Type="http://schemas.openxmlformats.org/officeDocument/2006/relationships/hyperlink" Target="https://doi.org/10.1097/ANS.0000000000000256" TargetMode="External"/><Relationship Id="rId10" Type="http://schemas.openxmlformats.org/officeDocument/2006/relationships/hyperlink" Target="https://myonline.regiscollege.edu/mod/forum/discuss.php?d=250294" TargetMode="External"/><Relationship Id="rId4" Type="http://schemas.openxmlformats.org/officeDocument/2006/relationships/hyperlink" Target="https://myonline.regiscollege.edu/user/view.php?id=7536&amp;course=5381" TargetMode="External"/><Relationship Id="rId9" Type="http://schemas.openxmlformats.org/officeDocument/2006/relationships/hyperlink" Target="https://doi-org.regiscollege.idm.oclc.org/10.55611/reps.3401.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1688</Words>
  <Characters>9623</Characters>
  <Application>Microsoft Office Word</Application>
  <DocSecurity>0</DocSecurity>
  <Lines>80</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2024-02-02T02:04:00Z</dcterms:created>
  <dcterms:modified xsi:type="dcterms:W3CDTF">2024-02-02T02:08:00Z</dcterms:modified>
</cp:coreProperties>
</file>