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7145" w14:textId="6939118C" w:rsidR="00897DAD" w:rsidRDefault="00897DAD" w:rsidP="00897DAD">
      <w:pPr>
        <w:spacing w:after="0" w:line="480" w:lineRule="auto"/>
        <w:rPr>
          <w:rFonts w:ascii="Times New Roman" w:hAnsi="Times New Roman" w:cs="Times New Roman"/>
          <w:sz w:val="24"/>
          <w:szCs w:val="24"/>
        </w:rPr>
      </w:pPr>
    </w:p>
    <w:p w14:paraId="4D630B83" w14:textId="016C0A6F" w:rsidR="00897DAD" w:rsidRPr="00897DAD" w:rsidRDefault="00897DAD" w:rsidP="00897D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5: Leading Inclusion and Diversity</w:t>
      </w:r>
      <w:bookmarkStart w:id="0" w:name="_GoBack"/>
      <w:bookmarkEnd w:id="0"/>
    </w:p>
    <w:p w14:paraId="21A71F99" w14:textId="7B2D6D85" w:rsidR="00D027C4" w:rsidRDefault="0030317C" w:rsidP="00897DA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Globalization and migration have significantly changed the demographic characteristics of the American population. As noted by </w:t>
      </w:r>
      <w:proofErr w:type="spellStart"/>
      <w:r w:rsidRPr="00897DAD">
        <w:rPr>
          <w:rFonts w:ascii="Times New Roman" w:hAnsi="Times New Roman" w:cs="Times New Roman"/>
          <w:sz w:val="24"/>
          <w:szCs w:val="24"/>
        </w:rPr>
        <w:t>Arant</w:t>
      </w:r>
      <w:proofErr w:type="spellEnd"/>
      <w:r w:rsidRPr="00897DAD">
        <w:rPr>
          <w:rFonts w:ascii="Times New Roman" w:hAnsi="Times New Roman" w:cs="Times New Roman"/>
          <w:sz w:val="24"/>
          <w:szCs w:val="24"/>
        </w:rPr>
        <w:t xml:space="preserve"> et al. (2021</w:t>
      </w:r>
      <w:r>
        <w:rPr>
          <w:rFonts w:ascii="Times New Roman" w:hAnsi="Times New Roman" w:cs="Times New Roman"/>
          <w:sz w:val="24"/>
          <w:szCs w:val="24"/>
        </w:rPr>
        <w:t>), migration movements and globalization have resulted in ethnic diversity and significant linguistic and religious variations. Consequently, this has brought diverse cultures together. Healthcare organizations must respond to the demographic changes by ensuring a workforce with adequate cultural awareness and cultural competence. Such a workforce can respond to unique needs of specific groups, regardless of their cultures or ethnicities. The discussion explores the effect of globalization and migration on the need for cultural awareness and competence at the practice setting. It will also explore the role of the nurse leader in assuring the delivery of culturally competent care.</w:t>
      </w:r>
    </w:p>
    <w:p w14:paraId="38A258AE" w14:textId="0E6C6214" w:rsidR="0030317C" w:rsidRDefault="0030317C" w:rsidP="00897DAD">
      <w:pPr>
        <w:spacing w:after="0" w:line="480" w:lineRule="auto"/>
        <w:rPr>
          <w:rFonts w:ascii="Times New Roman" w:hAnsi="Times New Roman" w:cs="Times New Roman"/>
          <w:sz w:val="24"/>
          <w:szCs w:val="24"/>
        </w:rPr>
      </w:pPr>
      <w:r>
        <w:rPr>
          <w:rFonts w:ascii="Times New Roman" w:hAnsi="Times New Roman" w:cs="Times New Roman"/>
          <w:sz w:val="24"/>
          <w:szCs w:val="24"/>
        </w:rPr>
        <w:tab/>
        <w:t>The practice serves an ethnically and culturally diverse population, with the increasing number of migrants adding to the diversity. As supported by</w:t>
      </w:r>
      <w:r w:rsidR="00897DAD">
        <w:rPr>
          <w:rFonts w:ascii="Times New Roman" w:hAnsi="Times New Roman" w:cs="Times New Roman"/>
          <w:sz w:val="24"/>
          <w:szCs w:val="24"/>
        </w:rPr>
        <w:t xml:space="preserve"> Lai et al. (2023)</w:t>
      </w:r>
      <w:r>
        <w:rPr>
          <w:rFonts w:ascii="Times New Roman" w:hAnsi="Times New Roman" w:cs="Times New Roman"/>
          <w:sz w:val="24"/>
          <w:szCs w:val="24"/>
        </w:rPr>
        <w:t xml:space="preserve">, serving a culturally and linguistically diverse population creates challenges associated with cultural differences and language barriers. </w:t>
      </w:r>
      <w:r w:rsidR="00F6108A">
        <w:rPr>
          <w:rFonts w:ascii="Times New Roman" w:hAnsi="Times New Roman" w:cs="Times New Roman"/>
          <w:sz w:val="24"/>
          <w:szCs w:val="24"/>
        </w:rPr>
        <w:t>Cultural norms and beliefs not aligned to Western care approaches could discourage individuals from accessing help because of perceived stigma from providers and inadequate understanding of the health system (</w:t>
      </w:r>
      <w:r w:rsidR="00897DAD">
        <w:rPr>
          <w:rFonts w:ascii="Times New Roman" w:hAnsi="Times New Roman" w:cs="Times New Roman"/>
          <w:sz w:val="24"/>
          <w:szCs w:val="24"/>
        </w:rPr>
        <w:t>Khatri &amp; Assefa, 2022</w:t>
      </w:r>
      <w:r w:rsidR="00F6108A">
        <w:rPr>
          <w:rFonts w:ascii="Times New Roman" w:hAnsi="Times New Roman" w:cs="Times New Roman"/>
          <w:sz w:val="24"/>
          <w:szCs w:val="24"/>
        </w:rPr>
        <w:t xml:space="preserve">). The practice setting has had to contend and address such issues, especially among migrant populations. The populations are prone to inadequate services because of language barriers and cultural differences. Consequently, this has reinforced the need for a culturally aware and competent workforce that can </w:t>
      </w:r>
      <w:r w:rsidR="000E62FE">
        <w:rPr>
          <w:rFonts w:ascii="Times New Roman" w:hAnsi="Times New Roman" w:cs="Times New Roman"/>
          <w:sz w:val="24"/>
          <w:szCs w:val="24"/>
        </w:rPr>
        <w:t xml:space="preserve">address the diverse needs, with appropriate alignment of care with individual cultural norms and beliefs. The increasing demographic diversity requires a workforce capable of personalizing care and engaging in shared decision-making regarding treatments. </w:t>
      </w:r>
    </w:p>
    <w:p w14:paraId="684237A3" w14:textId="1AC22CF7" w:rsidR="000E62FE" w:rsidRDefault="000E62FE" w:rsidP="00897DA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changes in population demographics place nurse leaders at the center of ensuring the delivery of culturally competent care.</w:t>
      </w:r>
      <w:r w:rsidR="004D42E8">
        <w:rPr>
          <w:rFonts w:ascii="Times New Roman" w:hAnsi="Times New Roman" w:cs="Times New Roman"/>
          <w:sz w:val="24"/>
          <w:szCs w:val="24"/>
        </w:rPr>
        <w:t xml:space="preserve"> One approach essential to assuring culturally competent care entails building multidisciplinary teams that value diversity. For example, this could involve establishing a team mirroring the community’s demographic composition pertinent to ethnicity, language, socioeconomic status, disability, and sexual orientation. </w:t>
      </w:r>
      <w:r w:rsidR="00335870">
        <w:rPr>
          <w:rFonts w:ascii="Times New Roman" w:hAnsi="Times New Roman" w:cs="Times New Roman"/>
          <w:sz w:val="24"/>
          <w:szCs w:val="24"/>
        </w:rPr>
        <w:t xml:space="preserve">Championing an inclusive environment for teams would reduce challenges linked to interpersonal communication and relationships with patients of diverse cultures (Giovanni et al., 2019). </w:t>
      </w:r>
      <w:r w:rsidR="004D42E8">
        <w:rPr>
          <w:rFonts w:ascii="Times New Roman" w:hAnsi="Times New Roman" w:cs="Times New Roman"/>
          <w:sz w:val="24"/>
          <w:szCs w:val="24"/>
        </w:rPr>
        <w:t>Evidence shows that team diversity enhances the delivery of culturally competent care by bringing different perspectives essential to delivering services to patients from diverse backgrounds (</w:t>
      </w:r>
      <w:r w:rsidR="00897DAD">
        <w:rPr>
          <w:rFonts w:ascii="Times New Roman" w:hAnsi="Times New Roman" w:cs="Times New Roman"/>
          <w:sz w:val="24"/>
          <w:szCs w:val="24"/>
        </w:rPr>
        <w:t>McGregor et al., 2019</w:t>
      </w:r>
      <w:r w:rsidR="004D42E8">
        <w:rPr>
          <w:rFonts w:ascii="Times New Roman" w:hAnsi="Times New Roman" w:cs="Times New Roman"/>
          <w:sz w:val="24"/>
          <w:szCs w:val="24"/>
        </w:rPr>
        <w:t xml:space="preserve">). </w:t>
      </w:r>
      <w:r w:rsidR="00335870">
        <w:rPr>
          <w:rFonts w:ascii="Times New Roman" w:hAnsi="Times New Roman" w:cs="Times New Roman"/>
          <w:sz w:val="24"/>
          <w:szCs w:val="24"/>
        </w:rPr>
        <w:t xml:space="preserve">Notably, the benefits emerge from the exchange of ideas and practices based on a global perspective of nursing. </w:t>
      </w:r>
      <w:r w:rsidR="004D42E8">
        <w:rPr>
          <w:rFonts w:ascii="Times New Roman" w:hAnsi="Times New Roman" w:cs="Times New Roman"/>
          <w:sz w:val="24"/>
          <w:szCs w:val="24"/>
        </w:rPr>
        <w:t xml:space="preserve">A nurse leader can also advance culturally competent care by advocating for and leading the implementation of cultural competence training. </w:t>
      </w:r>
      <w:r w:rsidR="00335870">
        <w:rPr>
          <w:rFonts w:ascii="Times New Roman" w:hAnsi="Times New Roman" w:cs="Times New Roman"/>
          <w:sz w:val="24"/>
          <w:szCs w:val="24"/>
        </w:rPr>
        <w:t>The training programs would enhance nurses’ understanding of the differences cultural beliefs and norms that could affect access to care (</w:t>
      </w:r>
      <w:r w:rsidR="00897DAD">
        <w:rPr>
          <w:rFonts w:ascii="Times New Roman" w:hAnsi="Times New Roman" w:cs="Times New Roman"/>
          <w:sz w:val="24"/>
          <w:szCs w:val="24"/>
        </w:rPr>
        <w:t>Chu et al., 2022</w:t>
      </w:r>
      <w:r w:rsidR="00335870">
        <w:rPr>
          <w:rFonts w:ascii="Times New Roman" w:hAnsi="Times New Roman" w:cs="Times New Roman"/>
          <w:sz w:val="24"/>
          <w:szCs w:val="24"/>
        </w:rPr>
        <w:t>). Consequently, this would improve their cultural competence, resulting in a better understanding of unique patient needs and preferences (</w:t>
      </w:r>
      <w:r w:rsidR="00897DAD">
        <w:rPr>
          <w:rFonts w:ascii="Times New Roman" w:hAnsi="Times New Roman" w:cs="Times New Roman"/>
          <w:sz w:val="24"/>
          <w:szCs w:val="24"/>
        </w:rPr>
        <w:t>McGregor et al., 2019</w:t>
      </w:r>
      <w:r w:rsidR="00335870">
        <w:rPr>
          <w:rFonts w:ascii="Times New Roman" w:hAnsi="Times New Roman" w:cs="Times New Roman"/>
          <w:sz w:val="24"/>
          <w:szCs w:val="24"/>
        </w:rPr>
        <w:t xml:space="preserve">). </w:t>
      </w:r>
    </w:p>
    <w:p w14:paraId="390FBEB3" w14:textId="5EE329ED" w:rsidR="00335870" w:rsidRDefault="00335870" w:rsidP="00897DAD">
      <w:pPr>
        <w:spacing w:after="0" w:line="480" w:lineRule="auto"/>
        <w:rPr>
          <w:rFonts w:ascii="Times New Roman" w:hAnsi="Times New Roman" w:cs="Times New Roman"/>
          <w:sz w:val="24"/>
          <w:szCs w:val="24"/>
        </w:rPr>
      </w:pPr>
      <w:r>
        <w:rPr>
          <w:rFonts w:ascii="Times New Roman" w:hAnsi="Times New Roman" w:cs="Times New Roman"/>
          <w:sz w:val="24"/>
          <w:szCs w:val="24"/>
        </w:rPr>
        <w:tab/>
        <w:t>Overall, globalization and migration have led to the convergence of different cultures. Patients, especially migrants, from different cultures may face challenges in accessing care if it does not align with their cultural beliefs. Consequently, this implies the need for cultural awareness and cultural competence in practice settings. As a nurse leader, promoting and building inclusive teams that value diversity could enhance the delivery of culturally competent care. The members are capable of sharing ideas from a global perspective and enhance each other’s understanding o</w:t>
      </w:r>
      <w:r w:rsidR="00897DAD">
        <w:rPr>
          <w:rFonts w:ascii="Times New Roman" w:hAnsi="Times New Roman" w:cs="Times New Roman"/>
          <w:sz w:val="24"/>
          <w:szCs w:val="24"/>
        </w:rPr>
        <w:t xml:space="preserve">f different cultures. Moreover, the nurse leader should champion cultural </w:t>
      </w:r>
      <w:r w:rsidR="00897DAD">
        <w:rPr>
          <w:rFonts w:ascii="Times New Roman" w:hAnsi="Times New Roman" w:cs="Times New Roman"/>
          <w:sz w:val="24"/>
          <w:szCs w:val="24"/>
        </w:rPr>
        <w:lastRenderedPageBreak/>
        <w:t>competence training to enhance other professional’s knowledge and skills in delivering culturally competent care.</w:t>
      </w:r>
    </w:p>
    <w:p w14:paraId="4BCC5272" w14:textId="4F03EF06" w:rsidR="00897DAD" w:rsidRDefault="00897DAD" w:rsidP="00897DAD">
      <w:pPr>
        <w:spacing w:after="0" w:line="480" w:lineRule="auto"/>
        <w:jc w:val="center"/>
        <w:rPr>
          <w:rFonts w:ascii="Times New Roman" w:hAnsi="Times New Roman" w:cs="Times New Roman"/>
          <w:sz w:val="24"/>
          <w:szCs w:val="24"/>
        </w:rPr>
      </w:pPr>
      <w:r w:rsidRPr="00897DAD">
        <w:rPr>
          <w:rFonts w:ascii="Times New Roman" w:hAnsi="Times New Roman" w:cs="Times New Roman"/>
          <w:b/>
          <w:sz w:val="24"/>
          <w:szCs w:val="24"/>
        </w:rPr>
        <w:t>References</w:t>
      </w:r>
      <w:r>
        <w:rPr>
          <w:rFonts w:ascii="Times New Roman" w:hAnsi="Times New Roman" w:cs="Times New Roman"/>
          <w:sz w:val="24"/>
          <w:szCs w:val="24"/>
        </w:rPr>
        <w:t xml:space="preserve"> </w:t>
      </w:r>
    </w:p>
    <w:p w14:paraId="6F92EF64" w14:textId="77777777" w:rsidR="00897DAD" w:rsidRPr="00897DAD" w:rsidRDefault="00897DAD" w:rsidP="00897DAD">
      <w:pPr>
        <w:spacing w:after="0" w:line="480" w:lineRule="auto"/>
        <w:ind w:left="720" w:hanging="720"/>
        <w:rPr>
          <w:rFonts w:ascii="Times New Roman" w:hAnsi="Times New Roman" w:cs="Times New Roman"/>
          <w:color w:val="2D3B45"/>
          <w:sz w:val="24"/>
          <w:szCs w:val="24"/>
        </w:rPr>
      </w:pPr>
      <w:proofErr w:type="spellStart"/>
      <w:r w:rsidRPr="00897DAD">
        <w:rPr>
          <w:rFonts w:ascii="Times New Roman" w:hAnsi="Times New Roman" w:cs="Times New Roman"/>
          <w:color w:val="2D3B45"/>
          <w:sz w:val="24"/>
          <w:szCs w:val="24"/>
        </w:rPr>
        <w:t>Arant</w:t>
      </w:r>
      <w:proofErr w:type="spellEnd"/>
      <w:r w:rsidRPr="00897DAD">
        <w:rPr>
          <w:rFonts w:ascii="Times New Roman" w:hAnsi="Times New Roman" w:cs="Times New Roman"/>
          <w:color w:val="2D3B45"/>
          <w:sz w:val="24"/>
          <w:szCs w:val="24"/>
        </w:rPr>
        <w:t xml:space="preserve">, R., Larsen, M., &amp; </w:t>
      </w:r>
      <w:proofErr w:type="spellStart"/>
      <w:r w:rsidRPr="00897DAD">
        <w:rPr>
          <w:rFonts w:ascii="Times New Roman" w:hAnsi="Times New Roman" w:cs="Times New Roman"/>
          <w:color w:val="2D3B45"/>
          <w:sz w:val="24"/>
          <w:szCs w:val="24"/>
        </w:rPr>
        <w:t>Boehnke</w:t>
      </w:r>
      <w:proofErr w:type="spellEnd"/>
      <w:r w:rsidRPr="00897DAD">
        <w:rPr>
          <w:rFonts w:ascii="Times New Roman" w:hAnsi="Times New Roman" w:cs="Times New Roman"/>
          <w:color w:val="2D3B45"/>
          <w:sz w:val="24"/>
          <w:szCs w:val="24"/>
        </w:rPr>
        <w:t>, K. (2021, March 4). Acceptance of diversity as a building block of social cohesion: Individual and structural determinants. </w:t>
      </w:r>
      <w:r w:rsidRPr="00897DAD">
        <w:rPr>
          <w:rStyle w:val="Emphasis"/>
          <w:rFonts w:ascii="Times New Roman" w:hAnsi="Times New Roman" w:cs="Times New Roman"/>
          <w:color w:val="2D3B45"/>
          <w:sz w:val="24"/>
          <w:szCs w:val="24"/>
        </w:rPr>
        <w:t>Frontiers in Psychology, 12</w:t>
      </w:r>
      <w:r w:rsidRPr="00897DAD">
        <w:rPr>
          <w:rFonts w:ascii="Times New Roman" w:hAnsi="Times New Roman" w:cs="Times New Roman"/>
          <w:color w:val="2D3B45"/>
          <w:sz w:val="24"/>
          <w:szCs w:val="24"/>
        </w:rPr>
        <w:t xml:space="preserve">. </w:t>
      </w:r>
      <w:hyperlink r:id="rId4" w:history="1">
        <w:r w:rsidRPr="00897DAD">
          <w:rPr>
            <w:rStyle w:val="Hyperlink"/>
            <w:rFonts w:ascii="Times New Roman" w:hAnsi="Times New Roman" w:cs="Times New Roman"/>
            <w:sz w:val="24"/>
            <w:szCs w:val="24"/>
          </w:rPr>
          <w:t>https://doi.org/10.3389/fpsyg.2021.61222</w:t>
        </w:r>
        <w:r w:rsidRPr="00897DAD">
          <w:rPr>
            <w:rStyle w:val="Hyperlink"/>
            <w:rFonts w:ascii="Times New Roman" w:hAnsi="Times New Roman" w:cs="Times New Roman"/>
            <w:sz w:val="24"/>
            <w:szCs w:val="24"/>
          </w:rPr>
          <w:t>4</w:t>
        </w:r>
      </w:hyperlink>
      <w:r w:rsidRPr="00897DAD">
        <w:rPr>
          <w:rFonts w:ascii="Times New Roman" w:hAnsi="Times New Roman" w:cs="Times New Roman"/>
          <w:color w:val="2D3B45"/>
          <w:sz w:val="24"/>
          <w:szCs w:val="24"/>
        </w:rPr>
        <w:t xml:space="preserve"> </w:t>
      </w:r>
    </w:p>
    <w:p w14:paraId="72F6CC61" w14:textId="77777777" w:rsidR="00897DAD" w:rsidRPr="00897DAD" w:rsidRDefault="00897DAD" w:rsidP="00897DAD">
      <w:pPr>
        <w:spacing w:after="0" w:line="480" w:lineRule="auto"/>
        <w:ind w:left="720" w:hanging="720"/>
        <w:rPr>
          <w:rFonts w:ascii="Times New Roman" w:eastAsia="Times New Roman" w:hAnsi="Times New Roman" w:cs="Times New Roman"/>
          <w:sz w:val="24"/>
          <w:szCs w:val="24"/>
          <w:lang w:val="en-GB" w:eastAsia="en-GB"/>
        </w:rPr>
      </w:pPr>
      <w:r w:rsidRPr="00897DAD">
        <w:rPr>
          <w:rFonts w:ascii="Times New Roman" w:eastAsia="Times New Roman" w:hAnsi="Times New Roman" w:cs="Times New Roman"/>
          <w:sz w:val="24"/>
          <w:szCs w:val="24"/>
          <w:lang w:val="en-GB" w:eastAsia="en-GB"/>
        </w:rPr>
        <w:t xml:space="preserve">Chu, W., </w:t>
      </w:r>
      <w:proofErr w:type="spellStart"/>
      <w:r w:rsidRPr="00897DAD">
        <w:rPr>
          <w:rFonts w:ascii="Times New Roman" w:eastAsia="Times New Roman" w:hAnsi="Times New Roman" w:cs="Times New Roman"/>
          <w:sz w:val="24"/>
          <w:szCs w:val="24"/>
          <w:lang w:val="en-GB" w:eastAsia="en-GB"/>
        </w:rPr>
        <w:t>Wippold</w:t>
      </w:r>
      <w:proofErr w:type="spellEnd"/>
      <w:r w:rsidRPr="00897DAD">
        <w:rPr>
          <w:rFonts w:ascii="Times New Roman" w:eastAsia="Times New Roman" w:hAnsi="Times New Roman" w:cs="Times New Roman"/>
          <w:sz w:val="24"/>
          <w:szCs w:val="24"/>
          <w:lang w:val="en-GB" w:eastAsia="en-GB"/>
        </w:rPr>
        <w:t xml:space="preserve">, G., &amp; Becker, K. D. (2022). A </w:t>
      </w:r>
      <w:r w:rsidRPr="00897DAD">
        <w:rPr>
          <w:rFonts w:ascii="Times New Roman" w:eastAsia="Times New Roman" w:hAnsi="Times New Roman" w:cs="Times New Roman"/>
          <w:sz w:val="24"/>
          <w:szCs w:val="24"/>
          <w:lang w:val="en-GB" w:eastAsia="en-GB"/>
        </w:rPr>
        <w:t>systematic review of cultural competence trainings for mental health providers</w:t>
      </w:r>
      <w:r w:rsidRPr="00897DAD">
        <w:rPr>
          <w:rFonts w:ascii="Times New Roman" w:eastAsia="Times New Roman" w:hAnsi="Times New Roman" w:cs="Times New Roman"/>
          <w:sz w:val="24"/>
          <w:szCs w:val="24"/>
          <w:lang w:val="en-GB" w:eastAsia="en-GB"/>
        </w:rPr>
        <w:t xml:space="preserve">. </w:t>
      </w:r>
      <w:r w:rsidRPr="00897DAD">
        <w:rPr>
          <w:rFonts w:ascii="Times New Roman" w:eastAsia="Times New Roman" w:hAnsi="Times New Roman" w:cs="Times New Roman"/>
          <w:i/>
          <w:iCs/>
          <w:sz w:val="24"/>
          <w:szCs w:val="24"/>
          <w:lang w:val="en-GB" w:eastAsia="en-GB"/>
        </w:rPr>
        <w:t>Professional</w:t>
      </w:r>
      <w:r w:rsidRPr="00897DAD">
        <w:rPr>
          <w:rFonts w:ascii="Times New Roman" w:eastAsia="Times New Roman" w:hAnsi="Times New Roman" w:cs="Times New Roman"/>
          <w:i/>
          <w:iCs/>
          <w:sz w:val="24"/>
          <w:szCs w:val="24"/>
          <w:lang w:val="en-GB" w:eastAsia="en-GB"/>
        </w:rPr>
        <w:t xml:space="preserve"> Psychology, Research and Practice</w:t>
      </w:r>
      <w:r w:rsidRPr="00897DAD">
        <w:rPr>
          <w:rFonts w:ascii="Times New Roman" w:eastAsia="Times New Roman" w:hAnsi="Times New Roman" w:cs="Times New Roman"/>
          <w:sz w:val="24"/>
          <w:szCs w:val="24"/>
          <w:lang w:val="en-GB" w:eastAsia="en-GB"/>
        </w:rPr>
        <w:t xml:space="preserve">, </w:t>
      </w:r>
      <w:r w:rsidRPr="00897DAD">
        <w:rPr>
          <w:rFonts w:ascii="Times New Roman" w:eastAsia="Times New Roman" w:hAnsi="Times New Roman" w:cs="Times New Roman"/>
          <w:i/>
          <w:iCs/>
          <w:sz w:val="24"/>
          <w:szCs w:val="24"/>
          <w:lang w:val="en-GB" w:eastAsia="en-GB"/>
        </w:rPr>
        <w:t>53</w:t>
      </w:r>
      <w:r w:rsidRPr="00897DAD">
        <w:rPr>
          <w:rFonts w:ascii="Times New Roman" w:eastAsia="Times New Roman" w:hAnsi="Times New Roman" w:cs="Times New Roman"/>
          <w:sz w:val="24"/>
          <w:szCs w:val="24"/>
          <w:lang w:val="en-GB" w:eastAsia="en-GB"/>
        </w:rPr>
        <w:t xml:space="preserve">(4), 362–371. </w:t>
      </w:r>
      <w:hyperlink r:id="rId5" w:history="1">
        <w:r w:rsidRPr="00897DAD">
          <w:rPr>
            <w:rStyle w:val="Hyperlink"/>
            <w:rFonts w:ascii="Times New Roman" w:eastAsia="Times New Roman" w:hAnsi="Times New Roman" w:cs="Times New Roman"/>
            <w:sz w:val="24"/>
            <w:szCs w:val="24"/>
            <w:lang w:val="en-GB" w:eastAsia="en-GB"/>
          </w:rPr>
          <w:t>https://doi.org/10.1037/pro0000469</w:t>
        </w:r>
      </w:hyperlink>
      <w:r w:rsidRPr="00897DAD">
        <w:rPr>
          <w:rFonts w:ascii="Times New Roman" w:eastAsia="Times New Roman" w:hAnsi="Times New Roman" w:cs="Times New Roman"/>
          <w:sz w:val="24"/>
          <w:szCs w:val="24"/>
          <w:lang w:val="en-GB" w:eastAsia="en-GB"/>
        </w:rPr>
        <w:t xml:space="preserve"> </w:t>
      </w:r>
    </w:p>
    <w:p w14:paraId="010BAB97" w14:textId="77777777" w:rsidR="00897DAD" w:rsidRPr="00897DAD" w:rsidRDefault="00897DAD" w:rsidP="00897DAD">
      <w:pPr>
        <w:spacing w:after="0" w:line="480" w:lineRule="auto"/>
        <w:ind w:left="720" w:hanging="720"/>
        <w:rPr>
          <w:rFonts w:ascii="Times New Roman" w:hAnsi="Times New Roman" w:cs="Times New Roman"/>
          <w:color w:val="2D3B45"/>
          <w:sz w:val="24"/>
          <w:szCs w:val="24"/>
        </w:rPr>
      </w:pPr>
      <w:r w:rsidRPr="00897DAD">
        <w:rPr>
          <w:rFonts w:ascii="Times New Roman" w:hAnsi="Times New Roman" w:cs="Times New Roman"/>
          <w:color w:val="2D3B45"/>
          <w:sz w:val="24"/>
          <w:szCs w:val="24"/>
        </w:rPr>
        <w:t xml:space="preserve">Giovanni, D., </w:t>
      </w:r>
      <w:proofErr w:type="spellStart"/>
      <w:r w:rsidRPr="00897DAD">
        <w:rPr>
          <w:rFonts w:ascii="Times New Roman" w:hAnsi="Times New Roman" w:cs="Times New Roman"/>
          <w:color w:val="2D3B45"/>
          <w:sz w:val="24"/>
          <w:szCs w:val="24"/>
        </w:rPr>
        <w:t>Cataldo</w:t>
      </w:r>
      <w:proofErr w:type="spellEnd"/>
      <w:r w:rsidRPr="00897DAD">
        <w:rPr>
          <w:rFonts w:ascii="Times New Roman" w:hAnsi="Times New Roman" w:cs="Times New Roman"/>
          <w:color w:val="2D3B45"/>
          <w:sz w:val="24"/>
          <w:szCs w:val="24"/>
        </w:rPr>
        <w:t xml:space="preserve">, E., &amp; </w:t>
      </w:r>
      <w:proofErr w:type="spellStart"/>
      <w:r w:rsidRPr="00897DAD">
        <w:rPr>
          <w:rFonts w:ascii="Times New Roman" w:hAnsi="Times New Roman" w:cs="Times New Roman"/>
          <w:color w:val="2D3B45"/>
          <w:sz w:val="24"/>
          <w:szCs w:val="24"/>
        </w:rPr>
        <w:t>Laghetti</w:t>
      </w:r>
      <w:proofErr w:type="spellEnd"/>
      <w:r w:rsidRPr="00897DAD">
        <w:rPr>
          <w:rFonts w:ascii="Times New Roman" w:hAnsi="Times New Roman" w:cs="Times New Roman"/>
          <w:color w:val="2D3B45"/>
          <w:sz w:val="24"/>
          <w:szCs w:val="24"/>
        </w:rPr>
        <w:t>, C. (2019). The client-oriented model of cultural competence in healthcare organizations. </w:t>
      </w:r>
      <w:r w:rsidRPr="00897DAD">
        <w:rPr>
          <w:rStyle w:val="Emphasis"/>
          <w:rFonts w:ascii="Times New Roman" w:hAnsi="Times New Roman" w:cs="Times New Roman"/>
          <w:color w:val="2D3B45"/>
          <w:sz w:val="24"/>
          <w:szCs w:val="24"/>
        </w:rPr>
        <w:t>International Journal of Healthcare Management, 12</w:t>
      </w:r>
      <w:r w:rsidRPr="00897DAD">
        <w:rPr>
          <w:rFonts w:ascii="Times New Roman" w:hAnsi="Times New Roman" w:cs="Times New Roman"/>
          <w:color w:val="2D3B45"/>
          <w:sz w:val="24"/>
          <w:szCs w:val="24"/>
        </w:rPr>
        <w:t xml:space="preserve">(3), 189-196. </w:t>
      </w:r>
      <w:hyperlink r:id="rId6" w:history="1">
        <w:r w:rsidRPr="00897DAD">
          <w:rPr>
            <w:rStyle w:val="Hyperlink"/>
            <w:rFonts w:ascii="Times New Roman" w:hAnsi="Times New Roman" w:cs="Times New Roman"/>
            <w:sz w:val="24"/>
            <w:szCs w:val="24"/>
          </w:rPr>
          <w:t>https://doi.org/10.1080/20479700.2017.1389476</w:t>
        </w:r>
      </w:hyperlink>
      <w:r w:rsidRPr="00897DAD">
        <w:rPr>
          <w:rFonts w:ascii="Times New Roman" w:hAnsi="Times New Roman" w:cs="Times New Roman"/>
          <w:color w:val="2D3B45"/>
          <w:sz w:val="24"/>
          <w:szCs w:val="24"/>
        </w:rPr>
        <w:t xml:space="preserve"> </w:t>
      </w:r>
    </w:p>
    <w:p w14:paraId="37C26732" w14:textId="77777777" w:rsidR="00897DAD" w:rsidRPr="00897DAD" w:rsidRDefault="00897DAD" w:rsidP="00897DAD">
      <w:pPr>
        <w:spacing w:after="0" w:line="480" w:lineRule="auto"/>
        <w:ind w:left="720" w:hanging="720"/>
        <w:rPr>
          <w:rFonts w:ascii="Times New Roman" w:hAnsi="Times New Roman" w:cs="Times New Roman"/>
          <w:sz w:val="24"/>
          <w:szCs w:val="24"/>
        </w:rPr>
      </w:pPr>
      <w:r w:rsidRPr="00897DAD">
        <w:rPr>
          <w:rFonts w:ascii="Times New Roman" w:eastAsia="Times New Roman" w:hAnsi="Times New Roman" w:cs="Times New Roman"/>
          <w:sz w:val="24"/>
          <w:szCs w:val="24"/>
          <w:lang w:val="en-GB" w:eastAsia="en-GB"/>
        </w:rPr>
        <w:t xml:space="preserve">Khatri, R. B., &amp; Assefa, Y. (2022). Access to health services among culturally and linguistically diverse populations in the Australian universal health care system: issues and challenges. </w:t>
      </w:r>
      <w:r w:rsidRPr="00897DAD">
        <w:rPr>
          <w:rFonts w:ascii="Times New Roman" w:eastAsia="Times New Roman" w:hAnsi="Times New Roman" w:cs="Times New Roman"/>
          <w:i/>
          <w:iCs/>
          <w:sz w:val="24"/>
          <w:szCs w:val="24"/>
          <w:lang w:val="en-GB" w:eastAsia="en-GB"/>
        </w:rPr>
        <w:t>BMC Public Health</w:t>
      </w:r>
      <w:r w:rsidRPr="00897DAD">
        <w:rPr>
          <w:rFonts w:ascii="Times New Roman" w:eastAsia="Times New Roman" w:hAnsi="Times New Roman" w:cs="Times New Roman"/>
          <w:sz w:val="24"/>
          <w:szCs w:val="24"/>
          <w:lang w:val="en-GB" w:eastAsia="en-GB"/>
        </w:rPr>
        <w:t xml:space="preserve">, </w:t>
      </w:r>
      <w:r w:rsidRPr="00897DAD">
        <w:rPr>
          <w:rFonts w:ascii="Times New Roman" w:eastAsia="Times New Roman" w:hAnsi="Times New Roman" w:cs="Times New Roman"/>
          <w:i/>
          <w:iCs/>
          <w:sz w:val="24"/>
          <w:szCs w:val="24"/>
          <w:lang w:val="en-GB" w:eastAsia="en-GB"/>
        </w:rPr>
        <w:t>22</w:t>
      </w:r>
      <w:r w:rsidRPr="00897DAD">
        <w:rPr>
          <w:rFonts w:ascii="Times New Roman" w:eastAsia="Times New Roman" w:hAnsi="Times New Roman" w:cs="Times New Roman"/>
          <w:sz w:val="24"/>
          <w:szCs w:val="24"/>
          <w:lang w:val="en-GB" w:eastAsia="en-GB"/>
        </w:rPr>
        <w:t>(1), 1-14.</w:t>
      </w:r>
      <w:r w:rsidRPr="00897DAD">
        <w:rPr>
          <w:rFonts w:ascii="Times New Roman" w:eastAsia="Times New Roman" w:hAnsi="Times New Roman" w:cs="Times New Roman"/>
          <w:sz w:val="24"/>
          <w:szCs w:val="24"/>
          <w:lang w:val="en-GB" w:eastAsia="en-GB"/>
        </w:rPr>
        <w:t xml:space="preserve"> </w:t>
      </w:r>
      <w:hyperlink r:id="rId7" w:history="1">
        <w:r w:rsidRPr="00897DAD">
          <w:rPr>
            <w:rStyle w:val="Hyperlink"/>
            <w:rFonts w:ascii="Times New Roman" w:hAnsi="Times New Roman" w:cs="Times New Roman"/>
            <w:sz w:val="24"/>
            <w:szCs w:val="24"/>
          </w:rPr>
          <w:t>https://doi.org/10.1186/s12889-022-13256-z</w:t>
        </w:r>
      </w:hyperlink>
      <w:r w:rsidRPr="00897DAD">
        <w:rPr>
          <w:rFonts w:ascii="Times New Roman" w:hAnsi="Times New Roman" w:cs="Times New Roman"/>
          <w:sz w:val="24"/>
          <w:szCs w:val="24"/>
        </w:rPr>
        <w:t xml:space="preserve"> </w:t>
      </w:r>
    </w:p>
    <w:p w14:paraId="37FDAA81" w14:textId="77777777" w:rsidR="00897DAD" w:rsidRPr="00897DAD" w:rsidRDefault="00897DAD" w:rsidP="00897DAD">
      <w:pPr>
        <w:spacing w:after="0" w:line="480" w:lineRule="auto"/>
        <w:ind w:left="720" w:hanging="720"/>
        <w:rPr>
          <w:rFonts w:ascii="Times New Roman" w:eastAsia="Times New Roman" w:hAnsi="Times New Roman" w:cs="Times New Roman"/>
          <w:sz w:val="24"/>
          <w:szCs w:val="24"/>
          <w:lang w:val="en-GB" w:eastAsia="en-GB"/>
        </w:rPr>
      </w:pPr>
      <w:r w:rsidRPr="00897DAD">
        <w:rPr>
          <w:rFonts w:ascii="Times New Roman" w:eastAsia="Times New Roman" w:hAnsi="Times New Roman" w:cs="Times New Roman"/>
          <w:sz w:val="24"/>
          <w:szCs w:val="24"/>
          <w:lang w:val="en-GB" w:eastAsia="en-GB"/>
        </w:rPr>
        <w:t xml:space="preserve">Lai, D. W. L., Lee, V. W. P., &amp; </w:t>
      </w:r>
      <w:proofErr w:type="spellStart"/>
      <w:r w:rsidRPr="00897DAD">
        <w:rPr>
          <w:rFonts w:ascii="Times New Roman" w:eastAsia="Times New Roman" w:hAnsi="Times New Roman" w:cs="Times New Roman"/>
          <w:sz w:val="24"/>
          <w:szCs w:val="24"/>
          <w:lang w:val="en-GB" w:eastAsia="en-GB"/>
        </w:rPr>
        <w:t>Ruan</w:t>
      </w:r>
      <w:proofErr w:type="spellEnd"/>
      <w:r w:rsidRPr="00897DAD">
        <w:rPr>
          <w:rFonts w:ascii="Times New Roman" w:eastAsia="Times New Roman" w:hAnsi="Times New Roman" w:cs="Times New Roman"/>
          <w:sz w:val="24"/>
          <w:szCs w:val="24"/>
          <w:lang w:val="en-GB" w:eastAsia="en-GB"/>
        </w:rPr>
        <w:t xml:space="preserve">, Y. X. (2023). Perspectives towards cultural competence and receptivity to cultural competence training: a qualitative study on healthcare professionals. </w:t>
      </w:r>
      <w:r w:rsidRPr="00897DAD">
        <w:rPr>
          <w:rFonts w:ascii="Times New Roman" w:eastAsia="Times New Roman" w:hAnsi="Times New Roman" w:cs="Times New Roman"/>
          <w:i/>
          <w:iCs/>
          <w:sz w:val="24"/>
          <w:szCs w:val="24"/>
          <w:lang w:val="en-GB" w:eastAsia="en-GB"/>
        </w:rPr>
        <w:t xml:space="preserve">Primary </w:t>
      </w:r>
      <w:r w:rsidRPr="00897DAD">
        <w:rPr>
          <w:rFonts w:ascii="Times New Roman" w:eastAsia="Times New Roman" w:hAnsi="Times New Roman" w:cs="Times New Roman"/>
          <w:i/>
          <w:iCs/>
          <w:sz w:val="24"/>
          <w:szCs w:val="24"/>
          <w:lang w:val="en-GB" w:eastAsia="en-GB"/>
        </w:rPr>
        <w:t>Health Care Research</w:t>
      </w:r>
      <w:r w:rsidRPr="00897DAD">
        <w:rPr>
          <w:rFonts w:ascii="Times New Roman" w:eastAsia="Times New Roman" w:hAnsi="Times New Roman" w:cs="Times New Roman"/>
          <w:i/>
          <w:iCs/>
          <w:sz w:val="24"/>
          <w:szCs w:val="24"/>
          <w:lang w:val="en-GB" w:eastAsia="en-GB"/>
        </w:rPr>
        <w:t xml:space="preserve"> &amp; </w:t>
      </w:r>
      <w:r w:rsidRPr="00897DAD">
        <w:rPr>
          <w:rFonts w:ascii="Times New Roman" w:eastAsia="Times New Roman" w:hAnsi="Times New Roman" w:cs="Times New Roman"/>
          <w:i/>
          <w:iCs/>
          <w:sz w:val="24"/>
          <w:szCs w:val="24"/>
          <w:lang w:val="en-GB" w:eastAsia="en-GB"/>
        </w:rPr>
        <w:t>Development</w:t>
      </w:r>
      <w:r w:rsidRPr="00897DAD">
        <w:rPr>
          <w:rFonts w:ascii="Times New Roman" w:eastAsia="Times New Roman" w:hAnsi="Times New Roman" w:cs="Times New Roman"/>
          <w:sz w:val="24"/>
          <w:szCs w:val="24"/>
          <w:lang w:val="en-GB" w:eastAsia="en-GB"/>
        </w:rPr>
        <w:t xml:space="preserve">, </w:t>
      </w:r>
      <w:r w:rsidRPr="00897DAD">
        <w:rPr>
          <w:rFonts w:ascii="Times New Roman" w:eastAsia="Times New Roman" w:hAnsi="Times New Roman" w:cs="Times New Roman"/>
          <w:i/>
          <w:iCs/>
          <w:sz w:val="24"/>
          <w:szCs w:val="24"/>
          <w:lang w:val="en-GB" w:eastAsia="en-GB"/>
        </w:rPr>
        <w:t>24</w:t>
      </w:r>
      <w:r w:rsidRPr="00897DAD">
        <w:rPr>
          <w:rFonts w:ascii="Times New Roman" w:eastAsia="Times New Roman" w:hAnsi="Times New Roman" w:cs="Times New Roman"/>
          <w:sz w:val="24"/>
          <w:szCs w:val="24"/>
          <w:lang w:val="en-GB" w:eastAsia="en-GB"/>
        </w:rPr>
        <w:t xml:space="preserve">, e40. </w:t>
      </w:r>
      <w:hyperlink r:id="rId8" w:history="1">
        <w:r w:rsidRPr="00897DAD">
          <w:rPr>
            <w:rStyle w:val="Hyperlink"/>
            <w:rFonts w:ascii="Times New Roman" w:eastAsia="Times New Roman" w:hAnsi="Times New Roman" w:cs="Times New Roman"/>
            <w:sz w:val="24"/>
            <w:szCs w:val="24"/>
            <w:lang w:val="en-GB" w:eastAsia="en-GB"/>
          </w:rPr>
          <w:t>https://doi.org/10.1017/S1463423623000245</w:t>
        </w:r>
      </w:hyperlink>
      <w:r w:rsidRPr="00897DAD">
        <w:rPr>
          <w:rFonts w:ascii="Times New Roman" w:eastAsia="Times New Roman" w:hAnsi="Times New Roman" w:cs="Times New Roman"/>
          <w:sz w:val="24"/>
          <w:szCs w:val="24"/>
          <w:lang w:val="en-GB" w:eastAsia="en-GB"/>
        </w:rPr>
        <w:t xml:space="preserve"> </w:t>
      </w:r>
    </w:p>
    <w:p w14:paraId="1982E4CB" w14:textId="77777777" w:rsidR="00897DAD" w:rsidRPr="00897DAD" w:rsidRDefault="00897DAD" w:rsidP="00897DAD">
      <w:pPr>
        <w:spacing w:after="0" w:line="480" w:lineRule="auto"/>
        <w:ind w:left="720" w:hanging="720"/>
        <w:rPr>
          <w:rFonts w:ascii="Times New Roman" w:eastAsia="Times New Roman" w:hAnsi="Times New Roman" w:cs="Times New Roman"/>
          <w:sz w:val="24"/>
          <w:szCs w:val="24"/>
          <w:lang w:val="en-GB" w:eastAsia="en-GB"/>
        </w:rPr>
      </w:pPr>
      <w:r w:rsidRPr="00897DAD">
        <w:rPr>
          <w:rFonts w:ascii="Times New Roman" w:eastAsia="Times New Roman" w:hAnsi="Times New Roman" w:cs="Times New Roman"/>
          <w:sz w:val="24"/>
          <w:szCs w:val="24"/>
          <w:lang w:val="en-GB" w:eastAsia="en-GB"/>
        </w:rPr>
        <w:t xml:space="preserve">McGregor, B., Belton, A., Henry, T. L., Wrenn, G., &amp; Holden, K. B. (2019). Improving </w:t>
      </w:r>
      <w:proofErr w:type="spellStart"/>
      <w:r w:rsidRPr="00897DAD">
        <w:rPr>
          <w:rFonts w:ascii="Times New Roman" w:eastAsia="Times New Roman" w:hAnsi="Times New Roman" w:cs="Times New Roman"/>
          <w:sz w:val="24"/>
          <w:szCs w:val="24"/>
          <w:lang w:val="en-GB" w:eastAsia="en-GB"/>
        </w:rPr>
        <w:t>behavioral</w:t>
      </w:r>
      <w:proofErr w:type="spellEnd"/>
      <w:r w:rsidRPr="00897DAD">
        <w:rPr>
          <w:rFonts w:ascii="Times New Roman" w:eastAsia="Times New Roman" w:hAnsi="Times New Roman" w:cs="Times New Roman"/>
          <w:sz w:val="24"/>
          <w:szCs w:val="24"/>
          <w:lang w:val="en-GB" w:eastAsia="en-GB"/>
        </w:rPr>
        <w:t xml:space="preserve"> health equity through cultural competence training of health care providers. </w:t>
      </w:r>
      <w:r w:rsidRPr="00897DAD">
        <w:rPr>
          <w:rFonts w:ascii="Times New Roman" w:eastAsia="Times New Roman" w:hAnsi="Times New Roman" w:cs="Times New Roman"/>
          <w:i/>
          <w:iCs/>
          <w:sz w:val="24"/>
          <w:szCs w:val="24"/>
          <w:lang w:val="en-GB" w:eastAsia="en-GB"/>
        </w:rPr>
        <w:t xml:space="preserve">Ethnicity &amp; </w:t>
      </w:r>
      <w:r w:rsidRPr="00897DAD">
        <w:rPr>
          <w:rFonts w:ascii="Times New Roman" w:eastAsia="Times New Roman" w:hAnsi="Times New Roman" w:cs="Times New Roman"/>
          <w:i/>
          <w:iCs/>
          <w:sz w:val="24"/>
          <w:szCs w:val="24"/>
          <w:lang w:val="en-GB" w:eastAsia="en-GB"/>
        </w:rPr>
        <w:t>Disease</w:t>
      </w:r>
      <w:r w:rsidRPr="00897DAD">
        <w:rPr>
          <w:rFonts w:ascii="Times New Roman" w:eastAsia="Times New Roman" w:hAnsi="Times New Roman" w:cs="Times New Roman"/>
          <w:sz w:val="24"/>
          <w:szCs w:val="24"/>
          <w:lang w:val="en-GB" w:eastAsia="en-GB"/>
        </w:rPr>
        <w:t xml:space="preserve">, </w:t>
      </w:r>
      <w:r w:rsidRPr="00897DAD">
        <w:rPr>
          <w:rFonts w:ascii="Times New Roman" w:eastAsia="Times New Roman" w:hAnsi="Times New Roman" w:cs="Times New Roman"/>
          <w:i/>
          <w:iCs/>
          <w:sz w:val="24"/>
          <w:szCs w:val="24"/>
          <w:lang w:val="en-GB" w:eastAsia="en-GB"/>
        </w:rPr>
        <w:t>29</w:t>
      </w:r>
      <w:r w:rsidRPr="00897DAD">
        <w:rPr>
          <w:rFonts w:ascii="Times New Roman" w:eastAsia="Times New Roman" w:hAnsi="Times New Roman" w:cs="Times New Roman"/>
          <w:sz w:val="24"/>
          <w:szCs w:val="24"/>
          <w:lang w:val="en-GB" w:eastAsia="en-GB"/>
        </w:rPr>
        <w:t>(</w:t>
      </w:r>
      <w:proofErr w:type="spellStart"/>
      <w:r w:rsidRPr="00897DAD">
        <w:rPr>
          <w:rFonts w:ascii="Times New Roman" w:eastAsia="Times New Roman" w:hAnsi="Times New Roman" w:cs="Times New Roman"/>
          <w:sz w:val="24"/>
          <w:szCs w:val="24"/>
          <w:lang w:val="en-GB" w:eastAsia="en-GB"/>
        </w:rPr>
        <w:t>Suppl</w:t>
      </w:r>
      <w:proofErr w:type="spellEnd"/>
      <w:r w:rsidRPr="00897DAD">
        <w:rPr>
          <w:rFonts w:ascii="Times New Roman" w:eastAsia="Times New Roman" w:hAnsi="Times New Roman" w:cs="Times New Roman"/>
          <w:sz w:val="24"/>
          <w:szCs w:val="24"/>
          <w:lang w:val="en-GB" w:eastAsia="en-GB"/>
        </w:rPr>
        <w:t xml:space="preserve"> 2), 359–364. </w:t>
      </w:r>
      <w:hyperlink r:id="rId9" w:history="1">
        <w:r w:rsidRPr="00897DAD">
          <w:rPr>
            <w:rStyle w:val="Hyperlink"/>
            <w:rFonts w:ascii="Times New Roman" w:eastAsia="Times New Roman" w:hAnsi="Times New Roman" w:cs="Times New Roman"/>
            <w:sz w:val="24"/>
            <w:szCs w:val="24"/>
            <w:lang w:val="en-GB" w:eastAsia="en-GB"/>
          </w:rPr>
          <w:t>https://doi.org/10.18865/ed.29.S2.359</w:t>
        </w:r>
      </w:hyperlink>
      <w:r w:rsidRPr="00897DAD">
        <w:rPr>
          <w:rFonts w:ascii="Times New Roman" w:eastAsia="Times New Roman" w:hAnsi="Times New Roman" w:cs="Times New Roman"/>
          <w:sz w:val="24"/>
          <w:szCs w:val="24"/>
          <w:lang w:val="en-GB" w:eastAsia="en-GB"/>
        </w:rPr>
        <w:t xml:space="preserve"> </w:t>
      </w:r>
    </w:p>
    <w:sectPr w:rsidR="00897DAD" w:rsidRPr="00897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C"/>
    <w:rsid w:val="000E62FE"/>
    <w:rsid w:val="0030317C"/>
    <w:rsid w:val="00335870"/>
    <w:rsid w:val="004D42E8"/>
    <w:rsid w:val="00897DAD"/>
    <w:rsid w:val="00D027C4"/>
    <w:rsid w:val="00ED55B8"/>
    <w:rsid w:val="00F6108A"/>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5C54"/>
  <w15:chartTrackingRefBased/>
  <w15:docId w15:val="{D8FE4A3B-F8DD-42AD-822E-7E5962EC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17C"/>
    <w:rPr>
      <w:color w:val="0563C1" w:themeColor="hyperlink"/>
      <w:u w:val="single"/>
    </w:rPr>
  </w:style>
  <w:style w:type="character" w:styleId="UnresolvedMention">
    <w:name w:val="Unresolved Mention"/>
    <w:basedOn w:val="DefaultParagraphFont"/>
    <w:uiPriority w:val="99"/>
    <w:semiHidden/>
    <w:unhideWhenUsed/>
    <w:rsid w:val="0030317C"/>
    <w:rPr>
      <w:color w:val="605E5C"/>
      <w:shd w:val="clear" w:color="auto" w:fill="E1DFDD"/>
    </w:rPr>
  </w:style>
  <w:style w:type="character" w:styleId="Emphasis">
    <w:name w:val="Emphasis"/>
    <w:basedOn w:val="DefaultParagraphFont"/>
    <w:uiPriority w:val="20"/>
    <w:qFormat/>
    <w:rsid w:val="00897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599850">
      <w:bodyDiv w:val="1"/>
      <w:marLeft w:val="0"/>
      <w:marRight w:val="0"/>
      <w:marTop w:val="0"/>
      <w:marBottom w:val="0"/>
      <w:divBdr>
        <w:top w:val="none" w:sz="0" w:space="0" w:color="auto"/>
        <w:left w:val="none" w:sz="0" w:space="0" w:color="auto"/>
        <w:bottom w:val="none" w:sz="0" w:space="0" w:color="auto"/>
        <w:right w:val="none" w:sz="0" w:space="0" w:color="auto"/>
      </w:divBdr>
      <w:divsChild>
        <w:div w:id="1893925075">
          <w:marLeft w:val="0"/>
          <w:marRight w:val="0"/>
          <w:marTop w:val="0"/>
          <w:marBottom w:val="0"/>
          <w:divBdr>
            <w:top w:val="none" w:sz="0" w:space="0" w:color="auto"/>
            <w:left w:val="none" w:sz="0" w:space="0" w:color="auto"/>
            <w:bottom w:val="none" w:sz="0" w:space="0" w:color="auto"/>
            <w:right w:val="none" w:sz="0" w:space="0" w:color="auto"/>
          </w:divBdr>
        </w:div>
      </w:divsChild>
    </w:div>
    <w:div w:id="977998024">
      <w:bodyDiv w:val="1"/>
      <w:marLeft w:val="0"/>
      <w:marRight w:val="0"/>
      <w:marTop w:val="0"/>
      <w:marBottom w:val="0"/>
      <w:divBdr>
        <w:top w:val="none" w:sz="0" w:space="0" w:color="auto"/>
        <w:left w:val="none" w:sz="0" w:space="0" w:color="auto"/>
        <w:bottom w:val="none" w:sz="0" w:space="0" w:color="auto"/>
        <w:right w:val="none" w:sz="0" w:space="0" w:color="auto"/>
      </w:divBdr>
    </w:div>
    <w:div w:id="1079253139">
      <w:bodyDiv w:val="1"/>
      <w:marLeft w:val="0"/>
      <w:marRight w:val="0"/>
      <w:marTop w:val="0"/>
      <w:marBottom w:val="0"/>
      <w:divBdr>
        <w:top w:val="none" w:sz="0" w:space="0" w:color="auto"/>
        <w:left w:val="none" w:sz="0" w:space="0" w:color="auto"/>
        <w:bottom w:val="none" w:sz="0" w:space="0" w:color="auto"/>
        <w:right w:val="none" w:sz="0" w:space="0" w:color="auto"/>
      </w:divBdr>
      <w:divsChild>
        <w:div w:id="1020619682">
          <w:marLeft w:val="0"/>
          <w:marRight w:val="0"/>
          <w:marTop w:val="0"/>
          <w:marBottom w:val="0"/>
          <w:divBdr>
            <w:top w:val="none" w:sz="0" w:space="0" w:color="auto"/>
            <w:left w:val="none" w:sz="0" w:space="0" w:color="auto"/>
            <w:bottom w:val="none" w:sz="0" w:space="0" w:color="auto"/>
            <w:right w:val="none" w:sz="0" w:space="0" w:color="auto"/>
          </w:divBdr>
        </w:div>
      </w:divsChild>
    </w:div>
    <w:div w:id="1464536624">
      <w:bodyDiv w:val="1"/>
      <w:marLeft w:val="0"/>
      <w:marRight w:val="0"/>
      <w:marTop w:val="0"/>
      <w:marBottom w:val="0"/>
      <w:divBdr>
        <w:top w:val="none" w:sz="0" w:space="0" w:color="auto"/>
        <w:left w:val="none" w:sz="0" w:space="0" w:color="auto"/>
        <w:bottom w:val="none" w:sz="0" w:space="0" w:color="auto"/>
        <w:right w:val="none" w:sz="0" w:space="0" w:color="auto"/>
      </w:divBdr>
      <w:divsChild>
        <w:div w:id="674458707">
          <w:marLeft w:val="0"/>
          <w:marRight w:val="0"/>
          <w:marTop w:val="0"/>
          <w:marBottom w:val="0"/>
          <w:divBdr>
            <w:top w:val="none" w:sz="0" w:space="0" w:color="auto"/>
            <w:left w:val="none" w:sz="0" w:space="0" w:color="auto"/>
            <w:bottom w:val="none" w:sz="0" w:space="0" w:color="auto"/>
            <w:right w:val="none" w:sz="0" w:space="0" w:color="auto"/>
          </w:divBdr>
        </w:div>
      </w:divsChild>
    </w:div>
    <w:div w:id="1995523879">
      <w:bodyDiv w:val="1"/>
      <w:marLeft w:val="0"/>
      <w:marRight w:val="0"/>
      <w:marTop w:val="0"/>
      <w:marBottom w:val="0"/>
      <w:divBdr>
        <w:top w:val="none" w:sz="0" w:space="0" w:color="auto"/>
        <w:left w:val="none" w:sz="0" w:space="0" w:color="auto"/>
        <w:bottom w:val="none" w:sz="0" w:space="0" w:color="auto"/>
        <w:right w:val="none" w:sz="0" w:space="0" w:color="auto"/>
      </w:divBdr>
      <w:divsChild>
        <w:div w:id="141485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1463423623000245" TargetMode="External"/><Relationship Id="rId3" Type="http://schemas.openxmlformats.org/officeDocument/2006/relationships/webSettings" Target="webSettings.xml"/><Relationship Id="rId7" Type="http://schemas.openxmlformats.org/officeDocument/2006/relationships/hyperlink" Target="https://doi.org/10.1186/s12889-022-13256-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20479700.2017.1389476" TargetMode="External"/><Relationship Id="rId11" Type="http://schemas.openxmlformats.org/officeDocument/2006/relationships/theme" Target="theme/theme1.xml"/><Relationship Id="rId5" Type="http://schemas.openxmlformats.org/officeDocument/2006/relationships/hyperlink" Target="https://doi.org/10.1037/pro0000469" TargetMode="External"/><Relationship Id="rId10" Type="http://schemas.openxmlformats.org/officeDocument/2006/relationships/fontTable" Target="fontTable.xml"/><Relationship Id="rId4" Type="http://schemas.openxmlformats.org/officeDocument/2006/relationships/hyperlink" Target="https://doi.org/10.3389/fpsyg.2021.612224" TargetMode="External"/><Relationship Id="rId9" Type="http://schemas.openxmlformats.org/officeDocument/2006/relationships/hyperlink" Target="https://doi.org/10.18865/ed.29.S2.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2024-02-07T04:29:00Z</dcterms:created>
  <dcterms:modified xsi:type="dcterms:W3CDTF">2024-02-07T05:27:00Z</dcterms:modified>
</cp:coreProperties>
</file>