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8BA6E" w14:textId="4B1C54A9" w:rsidR="00D027C4" w:rsidRDefault="00D13AFC" w:rsidP="00D13AFC">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Response to Alfred</w:t>
      </w:r>
    </w:p>
    <w:p w14:paraId="18E8A612" w14:textId="32C6D839" w:rsidR="00D13AFC" w:rsidRDefault="00D13AFC" w:rsidP="00D13AFC">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Thank you for your insightful contribution to the class discussion. I noted many similarities and a few differences in the assessment of the patient. I also selected ADHD as the primary differential for the patient. Consistent with your assessment, Cory’s presentation aligns with the diagnostic criteria for ADHD. </w:t>
      </w:r>
      <w:r w:rsidR="002656A5">
        <w:rPr>
          <w:rFonts w:ascii="Times New Roman" w:hAnsi="Times New Roman" w:cs="Times New Roman"/>
          <w:sz w:val="24"/>
          <w:szCs w:val="24"/>
          <w:lang w:val="en-US"/>
        </w:rPr>
        <w:t xml:space="preserve">The assessment aligns with the American Psychiatric Association (2022), the diagnosis of ADHD – inattentive type requires an individual to meet at least six symptoms in criteria A. </w:t>
      </w:r>
      <w:r w:rsidR="002656A5">
        <w:rPr>
          <w:rFonts w:ascii="Times New Roman" w:hAnsi="Times New Roman" w:cs="Times New Roman"/>
          <w:sz w:val="24"/>
          <w:szCs w:val="24"/>
          <w:lang w:val="en-US"/>
        </w:rPr>
        <w:t>T</w:t>
      </w:r>
      <w:r>
        <w:rPr>
          <w:rFonts w:ascii="Times New Roman" w:hAnsi="Times New Roman" w:cs="Times New Roman"/>
          <w:sz w:val="24"/>
          <w:szCs w:val="24"/>
          <w:lang w:val="en-US"/>
        </w:rPr>
        <w:t xml:space="preserve">his is evident in the patient’s problems with attention at school, difficulties remaining focused in class or on conversations, poor time management, challenges completing her homework, losing things, and frequent forgetfulness. </w:t>
      </w:r>
      <w:r w:rsidR="002656A5">
        <w:rPr>
          <w:rFonts w:ascii="Times New Roman" w:hAnsi="Times New Roman" w:cs="Times New Roman"/>
          <w:sz w:val="24"/>
          <w:szCs w:val="24"/>
          <w:lang w:val="en-US"/>
        </w:rPr>
        <w:t xml:space="preserve">In adding to your diagnosis, it would be essential to consider a few differential diagnoses. For example, the problems could be associated with specific learning disorder, which occurs because of a child’s lack of interest, frustration, or inadequate ability to learn caused by neurocognitive problems (APA, 2022). While Cory acknowledges her problems at school, it is essential to consider oppositional defiant disorder (ODD) as another differential diagnosis where a person fails to engage in school tasks that require self-application (APA, 2022). While you avoided a prescription of medication, I considered a prescription of methylphenidate HCl ER 18 mg PO </w:t>
      </w:r>
      <w:proofErr w:type="spellStart"/>
      <w:r w:rsidR="002656A5">
        <w:rPr>
          <w:rFonts w:ascii="Times New Roman" w:hAnsi="Times New Roman" w:cs="Times New Roman"/>
          <w:sz w:val="24"/>
          <w:szCs w:val="24"/>
          <w:lang w:val="en-US"/>
        </w:rPr>
        <w:t>qAM</w:t>
      </w:r>
      <w:proofErr w:type="spellEnd"/>
      <w:r w:rsidR="002656A5">
        <w:rPr>
          <w:rFonts w:ascii="Times New Roman" w:hAnsi="Times New Roman" w:cs="Times New Roman"/>
          <w:sz w:val="24"/>
          <w:szCs w:val="24"/>
          <w:lang w:val="en-US"/>
        </w:rPr>
        <w:t xml:space="preserve"> appropriate for the patient. Undoubtedly, pharmacotherapy has its disadvantages. However, the single daily dose of the stimulant may be appropriate in addressing inattentiveness, as established in research (Childress et al., 2019). I appreciate your acknowledgement of non-pharmacological interventions such as physical activity. I understand that Cory’s desire to participate in physical activity could be one of the factors that have limited her improvements in grades. </w:t>
      </w:r>
    </w:p>
    <w:p w14:paraId="1161C1A6" w14:textId="03DE6283" w:rsidR="003B32B0" w:rsidRPr="003B32B0" w:rsidRDefault="003B32B0" w:rsidP="003B32B0">
      <w:pPr>
        <w:spacing w:after="0" w:line="480" w:lineRule="auto"/>
        <w:jc w:val="center"/>
        <w:rPr>
          <w:rFonts w:ascii="Times New Roman" w:hAnsi="Times New Roman" w:cs="Times New Roman"/>
          <w:b/>
          <w:sz w:val="24"/>
          <w:szCs w:val="24"/>
          <w:lang w:val="en-US"/>
        </w:rPr>
      </w:pPr>
      <w:r w:rsidRPr="003B32B0">
        <w:rPr>
          <w:rFonts w:ascii="Times New Roman" w:hAnsi="Times New Roman" w:cs="Times New Roman"/>
          <w:b/>
          <w:sz w:val="24"/>
          <w:szCs w:val="24"/>
          <w:lang w:val="en-US"/>
        </w:rPr>
        <w:t>References</w:t>
      </w:r>
    </w:p>
    <w:p w14:paraId="62606B98" w14:textId="0EE6A41A" w:rsidR="003B32B0" w:rsidRPr="003B32B0" w:rsidRDefault="003B32B0" w:rsidP="003B32B0">
      <w:pPr>
        <w:spacing w:after="0" w:line="480" w:lineRule="auto"/>
        <w:ind w:left="720" w:hanging="720"/>
        <w:rPr>
          <w:rFonts w:ascii="Times New Roman" w:hAnsi="Times New Roman" w:cs="Times New Roman"/>
          <w:sz w:val="24"/>
          <w:szCs w:val="24"/>
        </w:rPr>
      </w:pPr>
      <w:r w:rsidRPr="003B32B0">
        <w:rPr>
          <w:rFonts w:ascii="Times New Roman" w:hAnsi="Times New Roman" w:cs="Times New Roman"/>
          <w:sz w:val="24"/>
          <w:szCs w:val="24"/>
        </w:rPr>
        <w:lastRenderedPageBreak/>
        <w:t>American Psychiatric Association. (2022).</w:t>
      </w:r>
      <w:r w:rsidRPr="003B32B0">
        <w:rPr>
          <w:rStyle w:val="apple-converted-space"/>
          <w:rFonts w:ascii="Times New Roman" w:hAnsi="Times New Roman" w:cs="Times New Roman"/>
          <w:sz w:val="24"/>
          <w:szCs w:val="24"/>
        </w:rPr>
        <w:t> </w:t>
      </w:r>
      <w:r w:rsidRPr="003B32B0">
        <w:rPr>
          <w:rFonts w:ascii="Times New Roman" w:hAnsi="Times New Roman" w:cs="Times New Roman"/>
          <w:i/>
          <w:iCs/>
          <w:sz w:val="24"/>
          <w:szCs w:val="24"/>
        </w:rPr>
        <w:t>Diagnostic and statistical manual of mental disorders DSM-5</w:t>
      </w:r>
      <w:r w:rsidRPr="003B32B0">
        <w:rPr>
          <w:rStyle w:val="apple-converted-space"/>
          <w:rFonts w:ascii="Times New Roman" w:hAnsi="Times New Roman" w:cs="Times New Roman"/>
          <w:sz w:val="24"/>
          <w:szCs w:val="24"/>
        </w:rPr>
        <w:t> </w:t>
      </w:r>
      <w:r w:rsidRPr="003B32B0">
        <w:rPr>
          <w:rFonts w:ascii="Times New Roman" w:hAnsi="Times New Roman" w:cs="Times New Roman"/>
          <w:sz w:val="24"/>
          <w:szCs w:val="24"/>
        </w:rPr>
        <w:t xml:space="preserve">– </w:t>
      </w:r>
      <w:r w:rsidRPr="003B32B0">
        <w:rPr>
          <w:rFonts w:ascii="Times New Roman" w:hAnsi="Times New Roman" w:cs="Times New Roman"/>
          <w:i/>
          <w:sz w:val="24"/>
          <w:szCs w:val="24"/>
        </w:rPr>
        <w:t>Test revision</w:t>
      </w:r>
      <w:r w:rsidRPr="003B32B0">
        <w:rPr>
          <w:rFonts w:ascii="Times New Roman" w:hAnsi="Times New Roman" w:cs="Times New Roman"/>
          <w:sz w:val="24"/>
          <w:szCs w:val="24"/>
        </w:rPr>
        <w:t xml:space="preserve"> (5th ed.). Washington DC: American Psychiatric Association.</w:t>
      </w:r>
    </w:p>
    <w:p w14:paraId="35A8C5C2" w14:textId="77777777" w:rsidR="003B32B0" w:rsidRDefault="003B32B0" w:rsidP="003B32B0">
      <w:pPr>
        <w:spacing w:line="480" w:lineRule="auto"/>
        <w:ind w:left="720" w:hanging="720"/>
        <w:rPr>
          <w:rFonts w:ascii="Times New Roman" w:eastAsia="Times New Roman" w:hAnsi="Times New Roman" w:cs="Times New Roman"/>
          <w:sz w:val="24"/>
          <w:szCs w:val="24"/>
        </w:rPr>
      </w:pPr>
      <w:r w:rsidRPr="003B32B0">
        <w:rPr>
          <w:rFonts w:ascii="Times New Roman" w:eastAsia="Times New Roman" w:hAnsi="Times New Roman" w:cs="Times New Roman"/>
          <w:sz w:val="24"/>
          <w:szCs w:val="24"/>
        </w:rPr>
        <w:t xml:space="preserve">Childress, A. C., </w:t>
      </w:r>
      <w:proofErr w:type="spellStart"/>
      <w:r w:rsidRPr="003B32B0">
        <w:rPr>
          <w:rFonts w:ascii="Times New Roman" w:eastAsia="Times New Roman" w:hAnsi="Times New Roman" w:cs="Times New Roman"/>
          <w:sz w:val="24"/>
          <w:szCs w:val="24"/>
        </w:rPr>
        <w:t>Komolova</w:t>
      </w:r>
      <w:proofErr w:type="spellEnd"/>
      <w:r w:rsidRPr="003B32B0">
        <w:rPr>
          <w:rFonts w:ascii="Times New Roman" w:eastAsia="Times New Roman" w:hAnsi="Times New Roman" w:cs="Times New Roman"/>
          <w:sz w:val="24"/>
          <w:szCs w:val="24"/>
        </w:rPr>
        <w:t xml:space="preserve">, M., &amp; </w:t>
      </w:r>
      <w:proofErr w:type="spellStart"/>
      <w:r w:rsidRPr="003B32B0">
        <w:rPr>
          <w:rFonts w:ascii="Times New Roman" w:eastAsia="Times New Roman" w:hAnsi="Times New Roman" w:cs="Times New Roman"/>
          <w:sz w:val="24"/>
          <w:szCs w:val="24"/>
        </w:rPr>
        <w:t>Sallee</w:t>
      </w:r>
      <w:proofErr w:type="spellEnd"/>
      <w:r w:rsidRPr="003B32B0">
        <w:rPr>
          <w:rFonts w:ascii="Times New Roman" w:eastAsia="Times New Roman" w:hAnsi="Times New Roman" w:cs="Times New Roman"/>
          <w:sz w:val="24"/>
          <w:szCs w:val="24"/>
        </w:rPr>
        <w:t xml:space="preserve">, F. R. (2019). An update on the pharmacokinetic considerations in the treatment of ADHD with long-acting methylphenidate and amphetamine formulations. </w:t>
      </w:r>
      <w:r w:rsidRPr="003B32B0">
        <w:rPr>
          <w:rFonts w:ascii="Times New Roman" w:eastAsia="Times New Roman" w:hAnsi="Times New Roman" w:cs="Times New Roman"/>
          <w:i/>
          <w:iCs/>
          <w:sz w:val="24"/>
          <w:szCs w:val="24"/>
        </w:rPr>
        <w:t>Expert Opinion on Drug Metabolism &amp; Toxicology</w:t>
      </w:r>
      <w:r w:rsidRPr="003B32B0">
        <w:rPr>
          <w:rFonts w:ascii="Times New Roman" w:eastAsia="Times New Roman" w:hAnsi="Times New Roman" w:cs="Times New Roman"/>
          <w:sz w:val="24"/>
          <w:szCs w:val="24"/>
        </w:rPr>
        <w:t xml:space="preserve">, </w:t>
      </w:r>
      <w:r w:rsidRPr="003B32B0">
        <w:rPr>
          <w:rFonts w:ascii="Times New Roman" w:eastAsia="Times New Roman" w:hAnsi="Times New Roman" w:cs="Times New Roman"/>
          <w:i/>
          <w:iCs/>
          <w:sz w:val="24"/>
          <w:szCs w:val="24"/>
        </w:rPr>
        <w:t>15</w:t>
      </w:r>
      <w:r w:rsidRPr="003B32B0">
        <w:rPr>
          <w:rFonts w:ascii="Times New Roman" w:eastAsia="Times New Roman" w:hAnsi="Times New Roman" w:cs="Times New Roman"/>
          <w:sz w:val="24"/>
          <w:szCs w:val="24"/>
        </w:rPr>
        <w:t xml:space="preserve">(11), 937-974. </w:t>
      </w:r>
      <w:hyperlink r:id="rId4" w:history="1">
        <w:r w:rsidRPr="00CE05D6">
          <w:rPr>
            <w:rStyle w:val="Hyperlink"/>
            <w:rFonts w:ascii="Times New Roman" w:eastAsia="Times New Roman" w:hAnsi="Times New Roman" w:cs="Times New Roman"/>
            <w:sz w:val="24"/>
            <w:szCs w:val="24"/>
          </w:rPr>
          <w:t>https://doi.org/10.1080/17425255.2019.167563</w:t>
        </w:r>
        <w:r w:rsidRPr="00CE05D6">
          <w:rPr>
            <w:rStyle w:val="Hyperlink"/>
            <w:rFonts w:ascii="Times New Roman" w:eastAsia="Times New Roman" w:hAnsi="Times New Roman" w:cs="Times New Roman"/>
            <w:sz w:val="24"/>
            <w:szCs w:val="24"/>
          </w:rPr>
          <w:t>6</w:t>
        </w:r>
      </w:hyperlink>
      <w:r>
        <w:rPr>
          <w:rFonts w:ascii="Times New Roman" w:eastAsia="Times New Roman" w:hAnsi="Times New Roman" w:cs="Times New Roman"/>
          <w:sz w:val="24"/>
          <w:szCs w:val="24"/>
        </w:rPr>
        <w:t xml:space="preserve"> </w:t>
      </w:r>
    </w:p>
    <w:p w14:paraId="68F336B9" w14:textId="41681163" w:rsidR="003B32B0" w:rsidRPr="003B32B0" w:rsidRDefault="003B32B0" w:rsidP="003B32B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sidRPr="003B32B0">
        <w:rPr>
          <w:rFonts w:ascii="Times New Roman" w:eastAsia="Times New Roman" w:hAnsi="Times New Roman" w:cs="Times New Roman"/>
          <w:b/>
          <w:sz w:val="24"/>
          <w:szCs w:val="24"/>
        </w:rPr>
        <w:lastRenderedPageBreak/>
        <w:t>Response to Bruce</w:t>
      </w:r>
    </w:p>
    <w:p w14:paraId="506FE75F" w14:textId="4A6B74B9" w:rsidR="003B32B0" w:rsidRDefault="003B32B0" w:rsidP="003B32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enjoyed reading your post for this week. In my response, I will focus on the similarities in the assessment and selected diagnosis, possible elements that might be missing, and the alignment of the treatment plan with evidence-based practice. You selected combined presentation of ADHD while I selected ADHD – predominantly inattention presentation. Although Cory reports impulsivity, most of the symptoms do not align with the hyperactivity-impulsivity presentation.</w:t>
      </w:r>
      <w:r w:rsidR="0031133C">
        <w:rPr>
          <w:rFonts w:ascii="Times New Roman" w:eastAsia="Times New Roman" w:hAnsi="Times New Roman" w:cs="Times New Roman"/>
          <w:sz w:val="24"/>
          <w:szCs w:val="24"/>
        </w:rPr>
        <w:t xml:space="preserve"> Consistent with the DSM-V criteria (American Psychiatric Association, 2022), Cory meets at least six aspects of inattentive type ADHD. The pertinent positives include problems with attention at school, poor time management, difficulties remaining focused in class or on conversations, losing things easily, challenges completing her homework, frequent forgetfulness, and dislike for tasks requiring sustained mental effort. </w:t>
      </w:r>
      <w:r w:rsidR="003D592A">
        <w:rPr>
          <w:rFonts w:ascii="Times New Roman" w:eastAsia="Times New Roman" w:hAnsi="Times New Roman" w:cs="Times New Roman"/>
          <w:sz w:val="24"/>
          <w:szCs w:val="24"/>
        </w:rPr>
        <w:t xml:space="preserve">The combined type would require Cory to have met at least six hyperactive-impulsive symptoms, which seem largely absent in her presentation. The treatment plan reflects a judicious consideration of the use of stimulants. A comprehensive cardiovascular assessment would be essential because stimulants may have adverse effects on individuals with cardiac issues. I acknowledge that Adderall is an effective medication for ADHD. However, I would consider selecting a drug that would address her inattentiveness. As supported by the literature, extended release formulations such as </w:t>
      </w:r>
      <w:proofErr w:type="spellStart"/>
      <w:r w:rsidR="003D592A">
        <w:rPr>
          <w:rFonts w:ascii="Times New Roman" w:eastAsia="Times New Roman" w:hAnsi="Times New Roman" w:cs="Times New Roman"/>
          <w:sz w:val="24"/>
          <w:szCs w:val="24"/>
        </w:rPr>
        <w:t>Concerta</w:t>
      </w:r>
      <w:proofErr w:type="spellEnd"/>
      <w:r w:rsidR="003D592A">
        <w:rPr>
          <w:rFonts w:ascii="Times New Roman" w:eastAsia="Times New Roman" w:hAnsi="Times New Roman" w:cs="Times New Roman"/>
          <w:sz w:val="24"/>
          <w:szCs w:val="24"/>
        </w:rPr>
        <w:t xml:space="preserve"> are effective in persons experiencing challenges with inattention (</w:t>
      </w:r>
      <w:proofErr w:type="spellStart"/>
      <w:r w:rsidR="003D592A">
        <w:rPr>
          <w:rFonts w:ascii="Times New Roman" w:eastAsia="Times New Roman" w:hAnsi="Times New Roman" w:cs="Times New Roman"/>
          <w:sz w:val="24"/>
          <w:szCs w:val="24"/>
        </w:rPr>
        <w:t>Jaeschake</w:t>
      </w:r>
      <w:proofErr w:type="spellEnd"/>
      <w:r w:rsidR="003D592A">
        <w:rPr>
          <w:rFonts w:ascii="Times New Roman" w:eastAsia="Times New Roman" w:hAnsi="Times New Roman" w:cs="Times New Roman"/>
          <w:sz w:val="24"/>
          <w:szCs w:val="24"/>
        </w:rPr>
        <w:t xml:space="preserve"> et al., 2021; Childress et al., 2019). I appreciate the inclusion of patient education in the treatment plan. Patient education is essential in ensuring adhering to medication and enhancing self-management. In adding to your thoughts, I would consider ordering a TSH panel for the patient essential. As expressed by </w:t>
      </w:r>
      <w:proofErr w:type="spellStart"/>
      <w:r w:rsidR="003D592A">
        <w:rPr>
          <w:rFonts w:ascii="Times New Roman" w:eastAsia="Times New Roman" w:hAnsi="Times New Roman" w:cs="Times New Roman"/>
          <w:sz w:val="24"/>
          <w:szCs w:val="24"/>
        </w:rPr>
        <w:t>Fukao</w:t>
      </w:r>
      <w:proofErr w:type="spellEnd"/>
      <w:r w:rsidR="003D592A">
        <w:rPr>
          <w:rFonts w:ascii="Times New Roman" w:eastAsia="Times New Roman" w:hAnsi="Times New Roman" w:cs="Times New Roman"/>
          <w:sz w:val="24"/>
          <w:szCs w:val="24"/>
        </w:rPr>
        <w:t xml:space="preserve"> et al. (2020), this would be essential because of the overlapping symptoms between ADHD and thyroid disease. </w:t>
      </w:r>
    </w:p>
    <w:p w14:paraId="4ED2DC78" w14:textId="3EEEF9B8" w:rsidR="005446D3" w:rsidRPr="005446D3" w:rsidRDefault="005446D3" w:rsidP="005446D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4CEA4824" w14:textId="77777777" w:rsidR="005446D3" w:rsidRPr="005446D3" w:rsidRDefault="005446D3" w:rsidP="005446D3">
      <w:pPr>
        <w:spacing w:after="0" w:line="480" w:lineRule="auto"/>
        <w:ind w:left="720" w:hanging="720"/>
        <w:rPr>
          <w:rFonts w:ascii="Times New Roman" w:hAnsi="Times New Roman" w:cs="Times New Roman"/>
          <w:sz w:val="24"/>
          <w:szCs w:val="24"/>
        </w:rPr>
      </w:pPr>
      <w:r w:rsidRPr="005446D3">
        <w:rPr>
          <w:rFonts w:ascii="Times New Roman" w:hAnsi="Times New Roman" w:cs="Times New Roman"/>
          <w:sz w:val="24"/>
          <w:szCs w:val="24"/>
        </w:rPr>
        <w:t>American Psychiatric Association. (2022).</w:t>
      </w:r>
      <w:r w:rsidRPr="005446D3">
        <w:rPr>
          <w:rStyle w:val="apple-converted-space"/>
          <w:rFonts w:ascii="Times New Roman" w:hAnsi="Times New Roman" w:cs="Times New Roman"/>
          <w:sz w:val="24"/>
          <w:szCs w:val="24"/>
        </w:rPr>
        <w:t> </w:t>
      </w:r>
      <w:r w:rsidRPr="005446D3">
        <w:rPr>
          <w:rFonts w:ascii="Times New Roman" w:hAnsi="Times New Roman" w:cs="Times New Roman"/>
          <w:i/>
          <w:iCs/>
          <w:sz w:val="24"/>
          <w:szCs w:val="24"/>
        </w:rPr>
        <w:t>Diagnostic and statistical manual of mental disorders DSM-5</w:t>
      </w:r>
      <w:r w:rsidRPr="005446D3">
        <w:rPr>
          <w:rStyle w:val="apple-converted-space"/>
          <w:rFonts w:ascii="Times New Roman" w:hAnsi="Times New Roman" w:cs="Times New Roman"/>
          <w:sz w:val="24"/>
          <w:szCs w:val="24"/>
        </w:rPr>
        <w:t> </w:t>
      </w:r>
      <w:r w:rsidRPr="005446D3">
        <w:rPr>
          <w:rFonts w:ascii="Times New Roman" w:hAnsi="Times New Roman" w:cs="Times New Roman"/>
          <w:sz w:val="24"/>
          <w:szCs w:val="24"/>
        </w:rPr>
        <w:t xml:space="preserve">– </w:t>
      </w:r>
      <w:r w:rsidRPr="005446D3">
        <w:rPr>
          <w:rFonts w:ascii="Times New Roman" w:hAnsi="Times New Roman" w:cs="Times New Roman"/>
          <w:i/>
          <w:sz w:val="24"/>
          <w:szCs w:val="24"/>
        </w:rPr>
        <w:t>Test revision</w:t>
      </w:r>
      <w:r w:rsidRPr="005446D3">
        <w:rPr>
          <w:rFonts w:ascii="Times New Roman" w:hAnsi="Times New Roman" w:cs="Times New Roman"/>
          <w:sz w:val="24"/>
          <w:szCs w:val="24"/>
        </w:rPr>
        <w:t xml:space="preserve"> (5th ed.). Washington DC: American Psychiatric Association.</w:t>
      </w:r>
    </w:p>
    <w:p w14:paraId="52DE5DB3" w14:textId="77777777" w:rsidR="005446D3" w:rsidRPr="005446D3" w:rsidRDefault="005446D3" w:rsidP="005446D3">
      <w:pPr>
        <w:spacing w:after="0" w:line="480" w:lineRule="auto"/>
        <w:ind w:left="720" w:hanging="720"/>
        <w:rPr>
          <w:rStyle w:val="Hyperlink"/>
          <w:rFonts w:ascii="Times New Roman" w:eastAsia="Times New Roman" w:hAnsi="Times New Roman" w:cs="Times New Roman"/>
          <w:sz w:val="24"/>
          <w:szCs w:val="24"/>
        </w:rPr>
      </w:pPr>
      <w:r w:rsidRPr="005446D3">
        <w:rPr>
          <w:rFonts w:ascii="Times New Roman" w:eastAsia="Times New Roman" w:hAnsi="Times New Roman" w:cs="Times New Roman"/>
          <w:sz w:val="24"/>
          <w:szCs w:val="24"/>
        </w:rPr>
        <w:t xml:space="preserve">Childress, A. C., </w:t>
      </w:r>
      <w:proofErr w:type="spellStart"/>
      <w:r w:rsidRPr="005446D3">
        <w:rPr>
          <w:rFonts w:ascii="Times New Roman" w:eastAsia="Times New Roman" w:hAnsi="Times New Roman" w:cs="Times New Roman"/>
          <w:sz w:val="24"/>
          <w:szCs w:val="24"/>
        </w:rPr>
        <w:t>Komolova</w:t>
      </w:r>
      <w:proofErr w:type="spellEnd"/>
      <w:r w:rsidRPr="005446D3">
        <w:rPr>
          <w:rFonts w:ascii="Times New Roman" w:eastAsia="Times New Roman" w:hAnsi="Times New Roman" w:cs="Times New Roman"/>
          <w:sz w:val="24"/>
          <w:szCs w:val="24"/>
        </w:rPr>
        <w:t xml:space="preserve">, M., &amp; </w:t>
      </w:r>
      <w:proofErr w:type="spellStart"/>
      <w:r w:rsidRPr="005446D3">
        <w:rPr>
          <w:rFonts w:ascii="Times New Roman" w:eastAsia="Times New Roman" w:hAnsi="Times New Roman" w:cs="Times New Roman"/>
          <w:sz w:val="24"/>
          <w:szCs w:val="24"/>
        </w:rPr>
        <w:t>Sallee</w:t>
      </w:r>
      <w:proofErr w:type="spellEnd"/>
      <w:r w:rsidRPr="005446D3">
        <w:rPr>
          <w:rFonts w:ascii="Times New Roman" w:eastAsia="Times New Roman" w:hAnsi="Times New Roman" w:cs="Times New Roman"/>
          <w:sz w:val="24"/>
          <w:szCs w:val="24"/>
        </w:rPr>
        <w:t xml:space="preserve">, F. R. (2019). An update on the pharmacokinetic considerations in the treatment of ADHD with long-acting methylphenidate and amphetamine formulations. </w:t>
      </w:r>
      <w:r w:rsidRPr="005446D3">
        <w:rPr>
          <w:rFonts w:ascii="Times New Roman" w:eastAsia="Times New Roman" w:hAnsi="Times New Roman" w:cs="Times New Roman"/>
          <w:i/>
          <w:iCs/>
          <w:sz w:val="24"/>
          <w:szCs w:val="24"/>
        </w:rPr>
        <w:t>Expert Opinion on Drug Metabolism &amp; Toxicology</w:t>
      </w:r>
      <w:r w:rsidRPr="005446D3">
        <w:rPr>
          <w:rFonts w:ascii="Times New Roman" w:eastAsia="Times New Roman" w:hAnsi="Times New Roman" w:cs="Times New Roman"/>
          <w:sz w:val="24"/>
          <w:szCs w:val="24"/>
        </w:rPr>
        <w:t xml:space="preserve">, </w:t>
      </w:r>
      <w:r w:rsidRPr="005446D3">
        <w:rPr>
          <w:rFonts w:ascii="Times New Roman" w:eastAsia="Times New Roman" w:hAnsi="Times New Roman" w:cs="Times New Roman"/>
          <w:i/>
          <w:iCs/>
          <w:sz w:val="24"/>
          <w:szCs w:val="24"/>
        </w:rPr>
        <w:t>15</w:t>
      </w:r>
      <w:r w:rsidRPr="005446D3">
        <w:rPr>
          <w:rFonts w:ascii="Times New Roman" w:eastAsia="Times New Roman" w:hAnsi="Times New Roman" w:cs="Times New Roman"/>
          <w:sz w:val="24"/>
          <w:szCs w:val="24"/>
        </w:rPr>
        <w:t xml:space="preserve">(11), 937-974. </w:t>
      </w:r>
      <w:hyperlink r:id="rId5" w:history="1">
        <w:r w:rsidRPr="005446D3">
          <w:rPr>
            <w:rStyle w:val="Hyperlink"/>
            <w:rFonts w:ascii="Times New Roman" w:eastAsia="Times New Roman" w:hAnsi="Times New Roman" w:cs="Times New Roman"/>
            <w:sz w:val="24"/>
            <w:szCs w:val="24"/>
          </w:rPr>
          <w:t>https://doi.org/10.1080/17425255.2019.1675636</w:t>
        </w:r>
      </w:hyperlink>
    </w:p>
    <w:p w14:paraId="37BD86F3" w14:textId="77777777" w:rsidR="005446D3" w:rsidRPr="005446D3" w:rsidRDefault="005446D3" w:rsidP="005446D3">
      <w:pPr>
        <w:spacing w:after="0" w:line="480" w:lineRule="auto"/>
        <w:ind w:left="720" w:hanging="720"/>
        <w:rPr>
          <w:rFonts w:ascii="Times New Roman" w:eastAsia="Times New Roman" w:hAnsi="Times New Roman" w:cs="Times New Roman"/>
          <w:sz w:val="24"/>
          <w:szCs w:val="24"/>
          <w:lang w:eastAsia="en-GB"/>
        </w:rPr>
      </w:pPr>
      <w:proofErr w:type="spellStart"/>
      <w:r w:rsidRPr="005446D3">
        <w:rPr>
          <w:rFonts w:ascii="Times New Roman" w:eastAsia="Times New Roman" w:hAnsi="Times New Roman" w:cs="Times New Roman"/>
          <w:sz w:val="24"/>
          <w:szCs w:val="24"/>
          <w:lang w:eastAsia="en-GB"/>
        </w:rPr>
        <w:t>Fukao</w:t>
      </w:r>
      <w:proofErr w:type="spellEnd"/>
      <w:r w:rsidRPr="005446D3">
        <w:rPr>
          <w:rFonts w:ascii="Times New Roman" w:eastAsia="Times New Roman" w:hAnsi="Times New Roman" w:cs="Times New Roman"/>
          <w:sz w:val="24"/>
          <w:szCs w:val="24"/>
          <w:lang w:eastAsia="en-GB"/>
        </w:rPr>
        <w:t xml:space="preserve">, A., Takamatsu, J., </w:t>
      </w:r>
      <w:proofErr w:type="spellStart"/>
      <w:r w:rsidRPr="005446D3">
        <w:rPr>
          <w:rFonts w:ascii="Times New Roman" w:eastAsia="Times New Roman" w:hAnsi="Times New Roman" w:cs="Times New Roman"/>
          <w:sz w:val="24"/>
          <w:szCs w:val="24"/>
          <w:lang w:eastAsia="en-GB"/>
        </w:rPr>
        <w:t>Arishima</w:t>
      </w:r>
      <w:proofErr w:type="spellEnd"/>
      <w:r w:rsidRPr="005446D3">
        <w:rPr>
          <w:rFonts w:ascii="Times New Roman" w:eastAsia="Times New Roman" w:hAnsi="Times New Roman" w:cs="Times New Roman"/>
          <w:sz w:val="24"/>
          <w:szCs w:val="24"/>
          <w:lang w:eastAsia="en-GB"/>
        </w:rPr>
        <w:t xml:space="preserve">, T., Tanaka, M., Kawai, T., Okamoto, Y., ... </w:t>
      </w:r>
      <w:bookmarkStart w:id="0" w:name="_GoBack"/>
      <w:bookmarkEnd w:id="0"/>
      <w:r w:rsidRPr="005446D3">
        <w:rPr>
          <w:rFonts w:ascii="Times New Roman" w:eastAsia="Times New Roman" w:hAnsi="Times New Roman" w:cs="Times New Roman"/>
          <w:sz w:val="24"/>
          <w:szCs w:val="24"/>
          <w:lang w:eastAsia="en-GB"/>
        </w:rPr>
        <w:t xml:space="preserve">&amp; </w:t>
      </w:r>
      <w:proofErr w:type="spellStart"/>
      <w:r w:rsidRPr="005446D3">
        <w:rPr>
          <w:rFonts w:ascii="Times New Roman" w:eastAsia="Times New Roman" w:hAnsi="Times New Roman" w:cs="Times New Roman"/>
          <w:sz w:val="24"/>
          <w:szCs w:val="24"/>
          <w:lang w:eastAsia="en-GB"/>
        </w:rPr>
        <w:t>Imagawa</w:t>
      </w:r>
      <w:proofErr w:type="spellEnd"/>
      <w:r w:rsidRPr="005446D3">
        <w:rPr>
          <w:rFonts w:ascii="Times New Roman" w:eastAsia="Times New Roman" w:hAnsi="Times New Roman" w:cs="Times New Roman"/>
          <w:sz w:val="24"/>
          <w:szCs w:val="24"/>
          <w:lang w:eastAsia="en-GB"/>
        </w:rPr>
        <w:t xml:space="preserve">, A. (2020). Graves’ disease and mental disorders. </w:t>
      </w:r>
      <w:r w:rsidRPr="005446D3">
        <w:rPr>
          <w:rFonts w:ascii="Times New Roman" w:eastAsia="Times New Roman" w:hAnsi="Times New Roman" w:cs="Times New Roman"/>
          <w:i/>
          <w:iCs/>
          <w:sz w:val="24"/>
          <w:szCs w:val="24"/>
          <w:lang w:eastAsia="en-GB"/>
        </w:rPr>
        <w:t>Journal of clinical &amp; translational endocrinology</w:t>
      </w:r>
      <w:r w:rsidRPr="005446D3">
        <w:rPr>
          <w:rFonts w:ascii="Times New Roman" w:eastAsia="Times New Roman" w:hAnsi="Times New Roman" w:cs="Times New Roman"/>
          <w:sz w:val="24"/>
          <w:szCs w:val="24"/>
          <w:lang w:eastAsia="en-GB"/>
        </w:rPr>
        <w:t xml:space="preserve">, </w:t>
      </w:r>
      <w:r w:rsidRPr="005446D3">
        <w:rPr>
          <w:rFonts w:ascii="Times New Roman" w:eastAsia="Times New Roman" w:hAnsi="Times New Roman" w:cs="Times New Roman"/>
          <w:i/>
          <w:iCs/>
          <w:sz w:val="24"/>
          <w:szCs w:val="24"/>
          <w:lang w:eastAsia="en-GB"/>
        </w:rPr>
        <w:t>19</w:t>
      </w:r>
      <w:r w:rsidRPr="005446D3">
        <w:rPr>
          <w:rFonts w:ascii="Times New Roman" w:eastAsia="Times New Roman" w:hAnsi="Times New Roman" w:cs="Times New Roman"/>
          <w:sz w:val="24"/>
          <w:szCs w:val="24"/>
          <w:lang w:eastAsia="en-GB"/>
        </w:rPr>
        <w:t>, 100207.</w:t>
      </w:r>
      <w:r w:rsidRPr="005446D3">
        <w:rPr>
          <w:rFonts w:ascii="Times New Roman" w:eastAsia="Times New Roman" w:hAnsi="Times New Roman" w:cs="Times New Roman"/>
          <w:sz w:val="24"/>
          <w:szCs w:val="24"/>
          <w:lang w:eastAsia="en-GB"/>
        </w:rPr>
        <w:t xml:space="preserve"> </w:t>
      </w:r>
      <w:hyperlink r:id="rId6" w:history="1">
        <w:r w:rsidRPr="005446D3">
          <w:rPr>
            <w:rStyle w:val="Hyperlink"/>
            <w:rFonts w:ascii="Times New Roman" w:eastAsia="Times New Roman" w:hAnsi="Times New Roman" w:cs="Times New Roman"/>
            <w:sz w:val="24"/>
            <w:szCs w:val="24"/>
            <w:lang w:eastAsia="en-GB"/>
          </w:rPr>
          <w:t>https://doi.org/10.1016/j.jcte.2019.100207</w:t>
        </w:r>
      </w:hyperlink>
      <w:r w:rsidRPr="005446D3">
        <w:rPr>
          <w:rFonts w:ascii="Times New Roman" w:eastAsia="Times New Roman" w:hAnsi="Times New Roman" w:cs="Times New Roman"/>
          <w:sz w:val="24"/>
          <w:szCs w:val="24"/>
          <w:lang w:eastAsia="en-GB"/>
        </w:rPr>
        <w:t xml:space="preserve"> </w:t>
      </w:r>
    </w:p>
    <w:p w14:paraId="7CEEF9D5" w14:textId="77777777" w:rsidR="005446D3" w:rsidRPr="005446D3" w:rsidRDefault="005446D3" w:rsidP="005446D3">
      <w:pPr>
        <w:spacing w:after="0" w:line="480" w:lineRule="auto"/>
        <w:ind w:left="720" w:hanging="720"/>
        <w:rPr>
          <w:rFonts w:ascii="Times New Roman" w:hAnsi="Times New Roman" w:cs="Times New Roman"/>
          <w:color w:val="0563C1" w:themeColor="hyperlink"/>
          <w:sz w:val="24"/>
          <w:szCs w:val="24"/>
          <w:u w:val="single"/>
        </w:rPr>
      </w:pPr>
      <w:proofErr w:type="spellStart"/>
      <w:r w:rsidRPr="005446D3">
        <w:rPr>
          <w:rFonts w:ascii="Times New Roman" w:eastAsia="Times New Roman" w:hAnsi="Times New Roman" w:cs="Times New Roman"/>
          <w:sz w:val="24"/>
          <w:szCs w:val="24"/>
        </w:rPr>
        <w:t>Jaeschke</w:t>
      </w:r>
      <w:proofErr w:type="spellEnd"/>
      <w:r w:rsidRPr="005446D3">
        <w:rPr>
          <w:rFonts w:ascii="Times New Roman" w:eastAsia="Times New Roman" w:hAnsi="Times New Roman" w:cs="Times New Roman"/>
          <w:sz w:val="24"/>
          <w:szCs w:val="24"/>
        </w:rPr>
        <w:t xml:space="preserve">, R. R., </w:t>
      </w:r>
      <w:proofErr w:type="spellStart"/>
      <w:r w:rsidRPr="005446D3">
        <w:rPr>
          <w:rFonts w:ascii="Times New Roman" w:eastAsia="Times New Roman" w:hAnsi="Times New Roman" w:cs="Times New Roman"/>
          <w:sz w:val="24"/>
          <w:szCs w:val="24"/>
        </w:rPr>
        <w:t>Sujkowska</w:t>
      </w:r>
      <w:proofErr w:type="spellEnd"/>
      <w:r w:rsidRPr="005446D3">
        <w:rPr>
          <w:rFonts w:ascii="Times New Roman" w:eastAsia="Times New Roman" w:hAnsi="Times New Roman" w:cs="Times New Roman"/>
          <w:sz w:val="24"/>
          <w:szCs w:val="24"/>
        </w:rPr>
        <w:t>, E., &amp; Sowa-</w:t>
      </w:r>
      <w:proofErr w:type="spellStart"/>
      <w:r w:rsidRPr="005446D3">
        <w:rPr>
          <w:rFonts w:ascii="Times New Roman" w:eastAsia="Times New Roman" w:hAnsi="Times New Roman" w:cs="Times New Roman"/>
          <w:sz w:val="24"/>
          <w:szCs w:val="24"/>
        </w:rPr>
        <w:t>Kućma</w:t>
      </w:r>
      <w:proofErr w:type="spellEnd"/>
      <w:r w:rsidRPr="005446D3">
        <w:rPr>
          <w:rFonts w:ascii="Times New Roman" w:eastAsia="Times New Roman" w:hAnsi="Times New Roman" w:cs="Times New Roman"/>
          <w:sz w:val="24"/>
          <w:szCs w:val="24"/>
        </w:rPr>
        <w:t xml:space="preserve">, M. (2021). Methylphenidate for attention-deficit/hyperactivity disorder in adults: A narrative review. </w:t>
      </w:r>
      <w:r w:rsidRPr="005446D3">
        <w:rPr>
          <w:rFonts w:ascii="Times New Roman" w:eastAsia="Times New Roman" w:hAnsi="Times New Roman" w:cs="Times New Roman"/>
          <w:i/>
          <w:iCs/>
          <w:sz w:val="24"/>
          <w:szCs w:val="24"/>
        </w:rPr>
        <w:t>Psychopharmacology</w:t>
      </w:r>
      <w:r w:rsidRPr="005446D3">
        <w:rPr>
          <w:rFonts w:ascii="Times New Roman" w:eastAsia="Times New Roman" w:hAnsi="Times New Roman" w:cs="Times New Roman"/>
          <w:sz w:val="24"/>
          <w:szCs w:val="24"/>
        </w:rPr>
        <w:t xml:space="preserve">, </w:t>
      </w:r>
      <w:r w:rsidRPr="005446D3">
        <w:rPr>
          <w:rFonts w:ascii="Times New Roman" w:eastAsia="Times New Roman" w:hAnsi="Times New Roman" w:cs="Times New Roman"/>
          <w:i/>
          <w:iCs/>
          <w:sz w:val="24"/>
          <w:szCs w:val="24"/>
        </w:rPr>
        <w:t>238</w:t>
      </w:r>
      <w:r w:rsidRPr="005446D3">
        <w:rPr>
          <w:rFonts w:ascii="Times New Roman" w:eastAsia="Times New Roman" w:hAnsi="Times New Roman" w:cs="Times New Roman"/>
          <w:sz w:val="24"/>
          <w:szCs w:val="24"/>
        </w:rPr>
        <w:t xml:space="preserve">(10), 2667-2691. </w:t>
      </w:r>
      <w:hyperlink r:id="rId7" w:history="1">
        <w:r w:rsidRPr="005446D3">
          <w:rPr>
            <w:rStyle w:val="Hyperlink"/>
            <w:rFonts w:ascii="Times New Roman" w:eastAsia="Times New Roman" w:hAnsi="Times New Roman" w:cs="Times New Roman"/>
            <w:sz w:val="24"/>
            <w:szCs w:val="24"/>
          </w:rPr>
          <w:t>https://doi.org/10.1007/s00213-021-05946-0</w:t>
        </w:r>
      </w:hyperlink>
      <w:r w:rsidRPr="005446D3">
        <w:rPr>
          <w:rFonts w:ascii="Times New Roman" w:eastAsia="Times New Roman" w:hAnsi="Times New Roman" w:cs="Times New Roman"/>
          <w:sz w:val="24"/>
          <w:szCs w:val="24"/>
        </w:rPr>
        <w:t xml:space="preserve"> </w:t>
      </w:r>
      <w:r w:rsidRPr="005446D3">
        <w:rPr>
          <w:rFonts w:ascii="Times New Roman" w:hAnsi="Times New Roman" w:cs="Times New Roman"/>
          <w:i/>
          <w:iCs/>
          <w:sz w:val="24"/>
          <w:szCs w:val="24"/>
        </w:rPr>
        <w:t xml:space="preserve"> &amp; Translational Endocrinology</w:t>
      </w:r>
      <w:r w:rsidRPr="005446D3">
        <w:rPr>
          <w:rFonts w:ascii="Times New Roman" w:hAnsi="Times New Roman" w:cs="Times New Roman"/>
          <w:sz w:val="24"/>
          <w:szCs w:val="24"/>
        </w:rPr>
        <w:t xml:space="preserve">, </w:t>
      </w:r>
      <w:r w:rsidRPr="005446D3">
        <w:rPr>
          <w:rFonts w:ascii="Times New Roman" w:hAnsi="Times New Roman" w:cs="Times New Roman"/>
          <w:i/>
          <w:iCs/>
          <w:sz w:val="24"/>
          <w:szCs w:val="24"/>
        </w:rPr>
        <w:t>19</w:t>
      </w:r>
      <w:r w:rsidRPr="005446D3">
        <w:rPr>
          <w:rFonts w:ascii="Times New Roman" w:hAnsi="Times New Roman" w:cs="Times New Roman"/>
          <w:sz w:val="24"/>
          <w:szCs w:val="24"/>
        </w:rPr>
        <w:t xml:space="preserve">. </w:t>
      </w:r>
      <w:hyperlink r:id="rId8" w:history="1">
        <w:r w:rsidRPr="005446D3">
          <w:rPr>
            <w:rStyle w:val="Hyperlink"/>
            <w:rFonts w:ascii="Times New Roman" w:hAnsi="Times New Roman" w:cs="Times New Roman"/>
            <w:sz w:val="24"/>
            <w:szCs w:val="24"/>
          </w:rPr>
          <w:t>https://doi.org/10.1016/j.jcte.2019.100207</w:t>
        </w:r>
      </w:hyperlink>
    </w:p>
    <w:sectPr w:rsidR="005446D3" w:rsidRPr="00544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FC"/>
    <w:rsid w:val="002656A5"/>
    <w:rsid w:val="0031133C"/>
    <w:rsid w:val="003B32B0"/>
    <w:rsid w:val="003D592A"/>
    <w:rsid w:val="005446D3"/>
    <w:rsid w:val="00D027C4"/>
    <w:rsid w:val="00D13AFC"/>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668D"/>
  <w15:chartTrackingRefBased/>
  <w15:docId w15:val="{85FD3E12-51BD-447C-A904-C79329B2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32B0"/>
  </w:style>
  <w:style w:type="character" w:styleId="Hyperlink">
    <w:name w:val="Hyperlink"/>
    <w:basedOn w:val="DefaultParagraphFont"/>
    <w:uiPriority w:val="99"/>
    <w:unhideWhenUsed/>
    <w:rsid w:val="003B32B0"/>
    <w:rPr>
      <w:color w:val="0563C1" w:themeColor="hyperlink"/>
      <w:u w:val="single"/>
    </w:rPr>
  </w:style>
  <w:style w:type="character" w:styleId="UnresolvedMention">
    <w:name w:val="Unresolved Mention"/>
    <w:basedOn w:val="DefaultParagraphFont"/>
    <w:uiPriority w:val="99"/>
    <w:semiHidden/>
    <w:unhideWhenUsed/>
    <w:rsid w:val="003B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537280">
      <w:bodyDiv w:val="1"/>
      <w:marLeft w:val="0"/>
      <w:marRight w:val="0"/>
      <w:marTop w:val="0"/>
      <w:marBottom w:val="0"/>
      <w:divBdr>
        <w:top w:val="none" w:sz="0" w:space="0" w:color="auto"/>
        <w:left w:val="none" w:sz="0" w:space="0" w:color="auto"/>
        <w:bottom w:val="none" w:sz="0" w:space="0" w:color="auto"/>
        <w:right w:val="none" w:sz="0" w:space="0" w:color="auto"/>
      </w:divBdr>
      <w:divsChild>
        <w:div w:id="931085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te.2019.100207" TargetMode="External"/><Relationship Id="rId3" Type="http://schemas.openxmlformats.org/officeDocument/2006/relationships/webSettings" Target="webSettings.xml"/><Relationship Id="rId7" Type="http://schemas.openxmlformats.org/officeDocument/2006/relationships/hyperlink" Target="https://doi.org/10.1007/s00213-021-0594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cte.2019.100207" TargetMode="External"/><Relationship Id="rId5" Type="http://schemas.openxmlformats.org/officeDocument/2006/relationships/hyperlink" Target="https://doi.org/10.1080/17425255.2019.1675636" TargetMode="External"/><Relationship Id="rId10" Type="http://schemas.openxmlformats.org/officeDocument/2006/relationships/theme" Target="theme/theme1.xml"/><Relationship Id="rId4" Type="http://schemas.openxmlformats.org/officeDocument/2006/relationships/hyperlink" Target="https://doi.org/10.1080/17425255.2019.167563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2024-02-10T17:01:00Z</dcterms:created>
  <dcterms:modified xsi:type="dcterms:W3CDTF">2024-02-10T17:59:00Z</dcterms:modified>
</cp:coreProperties>
</file>