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9318" w14:textId="3CA7EED4" w:rsidR="00E94642" w:rsidRDefault="00537DFA" w:rsidP="00E9464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Week 7 Discussion 1: Health Initiatives</w:t>
      </w:r>
    </w:p>
    <w:p w14:paraId="5597749B" w14:textId="700E3650" w:rsidR="00513A02" w:rsidRDefault="00E94642" w:rsidP="008F154C">
      <w:pPr>
        <w:ind w:firstLine="720"/>
        <w:rPr>
          <w:rFonts w:ascii="Times New Roman" w:hAnsi="Times New Roman" w:cs="Times New Roman"/>
          <w:sz w:val="24"/>
          <w:szCs w:val="24"/>
        </w:rPr>
      </w:pPr>
      <w:r>
        <w:rPr>
          <w:rFonts w:ascii="Times New Roman" w:hAnsi="Times New Roman" w:cs="Times New Roman"/>
          <w:sz w:val="24"/>
          <w:szCs w:val="24"/>
        </w:rPr>
        <w:t xml:space="preserve">The prevalence of mental health continues increasing and imposing a disproportionate effect on communities of color. While the country has achieved significant milestones in improving access to care, substantial barriers persist. </w:t>
      </w:r>
      <w:r w:rsidR="00EE32C8">
        <w:rPr>
          <w:rFonts w:ascii="Times New Roman" w:hAnsi="Times New Roman" w:cs="Times New Roman"/>
          <w:sz w:val="24"/>
          <w:szCs w:val="24"/>
        </w:rPr>
        <w:t xml:space="preserve">The discussion highlights availability and access to mental health services in my community and geographical area. It also discusses the effect of the Covid-19 pandemic on equity issues, barriers to access, and approaches to integrating cultural competency in my practice as a PMHNP. </w:t>
      </w:r>
    </w:p>
    <w:p w14:paraId="54B521D4" w14:textId="4FDD7CF7" w:rsidR="00EE32C8" w:rsidRPr="00BD74D3" w:rsidRDefault="00EE32C8" w:rsidP="008F154C">
      <w:pPr>
        <w:ind w:firstLine="720"/>
        <w:rPr>
          <w:rFonts w:ascii="Times New Roman" w:hAnsi="Times New Roman" w:cs="Times New Roman"/>
          <w:sz w:val="24"/>
          <w:szCs w:val="24"/>
        </w:rPr>
      </w:pPr>
      <w:r>
        <w:rPr>
          <w:rFonts w:ascii="Times New Roman" w:hAnsi="Times New Roman" w:cs="Times New Roman"/>
          <w:sz w:val="24"/>
          <w:szCs w:val="24"/>
        </w:rPr>
        <w:t>At the state level, Massachusetts ranks first in terms of access and availability of mental health providers, with mental health workforce to patient ratio at around 180:1 (</w:t>
      </w:r>
      <w:r w:rsidR="00537DFA">
        <w:rPr>
          <w:rFonts w:ascii="Times New Roman" w:hAnsi="Times New Roman" w:cs="Times New Roman"/>
          <w:sz w:val="24"/>
          <w:szCs w:val="24"/>
        </w:rPr>
        <w:t>Almeida, 2021</w:t>
      </w:r>
      <w:r>
        <w:rPr>
          <w:rFonts w:ascii="Times New Roman" w:hAnsi="Times New Roman" w:cs="Times New Roman"/>
          <w:sz w:val="24"/>
          <w:szCs w:val="24"/>
        </w:rPr>
        <w:t xml:space="preserve">). In addition, statistics show that the state </w:t>
      </w:r>
      <w:r w:rsidR="003E3C1A">
        <w:rPr>
          <w:rFonts w:ascii="Times New Roman" w:hAnsi="Times New Roman" w:cs="Times New Roman"/>
          <w:sz w:val="24"/>
          <w:szCs w:val="24"/>
        </w:rPr>
        <w:t>has 42 psychiatrists per 100,000 population</w:t>
      </w:r>
      <w:r w:rsidR="00537DFA">
        <w:rPr>
          <w:rFonts w:ascii="Times New Roman" w:hAnsi="Times New Roman" w:cs="Times New Roman"/>
          <w:sz w:val="24"/>
          <w:szCs w:val="24"/>
        </w:rPr>
        <w:t xml:space="preserve"> (</w:t>
      </w:r>
      <w:proofErr w:type="spellStart"/>
      <w:r w:rsidR="00537DFA">
        <w:rPr>
          <w:rFonts w:ascii="Times New Roman" w:hAnsi="Times New Roman" w:cs="Times New Roman"/>
          <w:sz w:val="24"/>
          <w:szCs w:val="24"/>
        </w:rPr>
        <w:t>Wyant</w:t>
      </w:r>
      <w:proofErr w:type="spellEnd"/>
      <w:r w:rsidR="00537DFA">
        <w:rPr>
          <w:rFonts w:ascii="Times New Roman" w:hAnsi="Times New Roman" w:cs="Times New Roman"/>
          <w:sz w:val="24"/>
          <w:szCs w:val="24"/>
        </w:rPr>
        <w:t>, 2020)</w:t>
      </w:r>
      <w:r w:rsidR="003E3C1A">
        <w:rPr>
          <w:rFonts w:ascii="Times New Roman" w:hAnsi="Times New Roman" w:cs="Times New Roman"/>
          <w:sz w:val="24"/>
          <w:szCs w:val="24"/>
        </w:rPr>
        <w:t xml:space="preserve">. Consistently, my community has a significant number of organizations providing mental health services. </w:t>
      </w:r>
      <w:r>
        <w:rPr>
          <w:rFonts w:ascii="Times New Roman" w:hAnsi="Times New Roman" w:cs="Times New Roman"/>
          <w:sz w:val="24"/>
          <w:szCs w:val="24"/>
        </w:rPr>
        <w:t>However, the statistics are paradoxical considering the significant disparities that exist in access</w:t>
      </w:r>
      <w:r w:rsidR="003E3C1A">
        <w:rPr>
          <w:rFonts w:ascii="Times New Roman" w:hAnsi="Times New Roman" w:cs="Times New Roman"/>
          <w:sz w:val="24"/>
          <w:szCs w:val="24"/>
        </w:rPr>
        <w:t>. While mental health services are highly available, access remains challenging for many people, especially the ethnic minority groups. Consistent with</w:t>
      </w:r>
      <w:r w:rsidR="00525959">
        <w:rPr>
          <w:rFonts w:ascii="Times New Roman" w:hAnsi="Times New Roman" w:cs="Times New Roman"/>
          <w:sz w:val="24"/>
          <w:szCs w:val="24"/>
        </w:rPr>
        <w:t xml:space="preserve"> Jimenez et al. (2022)</w:t>
      </w:r>
      <w:r w:rsidR="003E3C1A">
        <w:rPr>
          <w:rFonts w:ascii="Times New Roman" w:hAnsi="Times New Roman" w:cs="Times New Roman"/>
          <w:sz w:val="24"/>
          <w:szCs w:val="24"/>
        </w:rPr>
        <w:t xml:space="preserve">, many ethnic minority groups have a mismatch the prevalence of mental health disorders and service utilization. Consequently, many of them do not access timely treatment while others drop out from treatment. </w:t>
      </w:r>
    </w:p>
    <w:p w14:paraId="6A9CFAAE" w14:textId="36AF47C7" w:rsidR="003E3C1A" w:rsidRDefault="003E3C1A" w:rsidP="00513A02">
      <w:pPr>
        <w:rPr>
          <w:rFonts w:ascii="Times New Roman" w:hAnsi="Times New Roman" w:cs="Times New Roman"/>
          <w:sz w:val="24"/>
          <w:szCs w:val="24"/>
        </w:rPr>
      </w:pPr>
      <w:r>
        <w:rPr>
          <w:rFonts w:ascii="Times New Roman" w:hAnsi="Times New Roman" w:cs="Times New Roman"/>
          <w:sz w:val="24"/>
          <w:szCs w:val="24"/>
        </w:rPr>
        <w:tab/>
        <w:t xml:space="preserve">The Covid-19 pandemic exacerbated the existing </w:t>
      </w:r>
      <w:r w:rsidR="00274E6E">
        <w:rPr>
          <w:rFonts w:ascii="Times New Roman" w:hAnsi="Times New Roman" w:cs="Times New Roman"/>
          <w:sz w:val="24"/>
          <w:szCs w:val="24"/>
        </w:rPr>
        <w:t xml:space="preserve">inequalities in access to mental health services by ethnic minorities, especially the Blacks. While the levels of psychological distress increased, the pandemic was </w:t>
      </w:r>
      <w:proofErr w:type="gramStart"/>
      <w:r w:rsidR="00274E6E">
        <w:rPr>
          <w:rFonts w:ascii="Times New Roman" w:hAnsi="Times New Roman" w:cs="Times New Roman"/>
          <w:sz w:val="24"/>
          <w:szCs w:val="24"/>
        </w:rPr>
        <w:t>a</w:t>
      </w:r>
      <w:proofErr w:type="gramEnd"/>
      <w:r w:rsidR="00274E6E">
        <w:rPr>
          <w:rFonts w:ascii="Times New Roman" w:hAnsi="Times New Roman" w:cs="Times New Roman"/>
          <w:sz w:val="24"/>
          <w:szCs w:val="24"/>
        </w:rPr>
        <w:t xml:space="preserve"> associated with a significant decrease mental health and substance use disorder visits among ethnic minorities (</w:t>
      </w:r>
      <w:r w:rsidR="00525959">
        <w:rPr>
          <w:rFonts w:ascii="Times New Roman" w:hAnsi="Times New Roman" w:cs="Times New Roman"/>
          <w:sz w:val="24"/>
          <w:szCs w:val="24"/>
        </w:rPr>
        <w:t>Yang et al., 2020</w:t>
      </w:r>
      <w:r w:rsidR="00274E6E">
        <w:rPr>
          <w:rFonts w:ascii="Times New Roman" w:hAnsi="Times New Roman" w:cs="Times New Roman"/>
          <w:sz w:val="24"/>
          <w:szCs w:val="24"/>
        </w:rPr>
        <w:t>). According to</w:t>
      </w:r>
      <w:r w:rsidR="00525959">
        <w:rPr>
          <w:rFonts w:ascii="Times New Roman" w:hAnsi="Times New Roman" w:cs="Times New Roman"/>
          <w:sz w:val="24"/>
          <w:szCs w:val="24"/>
        </w:rPr>
        <w:t xml:space="preserve"> </w:t>
      </w:r>
      <w:proofErr w:type="spellStart"/>
      <w:r w:rsidR="00525959">
        <w:rPr>
          <w:rFonts w:ascii="Times New Roman" w:hAnsi="Times New Roman" w:cs="Times New Roman"/>
          <w:sz w:val="24"/>
          <w:szCs w:val="24"/>
        </w:rPr>
        <w:t>Bornheimer</w:t>
      </w:r>
      <w:proofErr w:type="spellEnd"/>
      <w:r w:rsidR="00525959">
        <w:rPr>
          <w:rFonts w:ascii="Times New Roman" w:hAnsi="Times New Roman" w:cs="Times New Roman"/>
          <w:sz w:val="24"/>
          <w:szCs w:val="24"/>
        </w:rPr>
        <w:t xml:space="preserve"> et al. (2022)</w:t>
      </w:r>
      <w:r w:rsidR="00274E6E">
        <w:rPr>
          <w:rFonts w:ascii="Times New Roman" w:hAnsi="Times New Roman" w:cs="Times New Roman"/>
          <w:sz w:val="24"/>
          <w:szCs w:val="24"/>
        </w:rPr>
        <w:t xml:space="preserve">, the increased adoption of telehealth created challenges in rapport-building, contributing to access challenges. In addition, some traditionally underserved communities faced access </w:t>
      </w:r>
      <w:r w:rsidR="00274E6E">
        <w:rPr>
          <w:rFonts w:ascii="Times New Roman" w:hAnsi="Times New Roman" w:cs="Times New Roman"/>
          <w:sz w:val="24"/>
          <w:szCs w:val="24"/>
        </w:rPr>
        <w:lastRenderedPageBreak/>
        <w:t xml:space="preserve">barriers because of limited remote services. </w:t>
      </w:r>
      <w:r w:rsidR="00E7334D">
        <w:rPr>
          <w:rFonts w:ascii="Times New Roman" w:hAnsi="Times New Roman" w:cs="Times New Roman"/>
          <w:sz w:val="24"/>
          <w:szCs w:val="24"/>
        </w:rPr>
        <w:t>The high contagion, scientific uncertainties, and strict quarantine increased patients’ fear and stigma, creating barriers in the search for mental health services (</w:t>
      </w:r>
      <w:r w:rsidR="00525959">
        <w:rPr>
          <w:rFonts w:ascii="Times New Roman" w:hAnsi="Times New Roman" w:cs="Times New Roman"/>
          <w:sz w:val="24"/>
          <w:szCs w:val="24"/>
        </w:rPr>
        <w:t>Peng et al., 2020</w:t>
      </w:r>
      <w:r w:rsidR="00E7334D">
        <w:rPr>
          <w:rFonts w:ascii="Times New Roman" w:hAnsi="Times New Roman" w:cs="Times New Roman"/>
          <w:sz w:val="24"/>
          <w:szCs w:val="24"/>
        </w:rPr>
        <w:t>). In addition, the increased workload and the closure of essential services hindered timely access, especially among ethnic minorities in medically underserved and rural communities.</w:t>
      </w:r>
    </w:p>
    <w:p w14:paraId="2EE020DF" w14:textId="79C78394" w:rsidR="00E7334D" w:rsidRDefault="00E7334D" w:rsidP="00513A02">
      <w:pPr>
        <w:rPr>
          <w:rFonts w:ascii="Times New Roman" w:hAnsi="Times New Roman" w:cs="Times New Roman"/>
          <w:sz w:val="24"/>
          <w:szCs w:val="24"/>
        </w:rPr>
      </w:pPr>
      <w:r>
        <w:rPr>
          <w:rFonts w:ascii="Times New Roman" w:hAnsi="Times New Roman" w:cs="Times New Roman"/>
          <w:sz w:val="24"/>
          <w:szCs w:val="24"/>
        </w:rPr>
        <w:tab/>
        <w:t>The most significant barrier to accessing mental health services in the community is underinsurance or lack of insurance. While the MA Health Insurance Reform extended comprehensive coverage t</w:t>
      </w:r>
      <w:r w:rsidR="00C94634">
        <w:rPr>
          <w:rFonts w:ascii="Times New Roman" w:hAnsi="Times New Roman" w:cs="Times New Roman"/>
          <w:sz w:val="24"/>
          <w:szCs w:val="24"/>
        </w:rPr>
        <w:t>o 95% of the state’s residents (</w:t>
      </w:r>
      <w:r w:rsidR="00525959">
        <w:rPr>
          <w:rFonts w:ascii="Times New Roman" w:hAnsi="Times New Roman" w:cs="Times New Roman"/>
          <w:sz w:val="24"/>
          <w:szCs w:val="24"/>
        </w:rPr>
        <w:t>Freund et al., 2019</w:t>
      </w:r>
      <w:r w:rsidR="00C94634">
        <w:rPr>
          <w:rFonts w:ascii="Times New Roman" w:hAnsi="Times New Roman" w:cs="Times New Roman"/>
          <w:sz w:val="24"/>
          <w:szCs w:val="24"/>
        </w:rPr>
        <w:t>), challenges in access persist in some groups in the community. Currently, health insurance coverage is tied to income thresholds or employment. Consequently, a significant population of the under-employed or unemployed individuals in the community have unstable insurance coverage. Besides, the type of insurance coverage affects many others. As observed by</w:t>
      </w:r>
      <w:r w:rsidR="00525959">
        <w:rPr>
          <w:rFonts w:ascii="Times New Roman" w:hAnsi="Times New Roman" w:cs="Times New Roman"/>
          <w:sz w:val="24"/>
          <w:szCs w:val="24"/>
        </w:rPr>
        <w:t xml:space="preserve"> </w:t>
      </w:r>
      <w:proofErr w:type="spellStart"/>
      <w:r w:rsidR="00525959">
        <w:rPr>
          <w:rFonts w:ascii="Times New Roman" w:hAnsi="Times New Roman" w:cs="Times New Roman"/>
          <w:sz w:val="24"/>
          <w:szCs w:val="24"/>
        </w:rPr>
        <w:t>Wyant</w:t>
      </w:r>
      <w:proofErr w:type="spellEnd"/>
      <w:r w:rsidR="00525959">
        <w:rPr>
          <w:rFonts w:ascii="Times New Roman" w:hAnsi="Times New Roman" w:cs="Times New Roman"/>
          <w:sz w:val="24"/>
          <w:szCs w:val="24"/>
        </w:rPr>
        <w:t xml:space="preserve"> et al. (2019)</w:t>
      </w:r>
      <w:r w:rsidR="00C94634">
        <w:rPr>
          <w:rFonts w:ascii="Times New Roman" w:hAnsi="Times New Roman" w:cs="Times New Roman"/>
          <w:sz w:val="24"/>
          <w:szCs w:val="24"/>
        </w:rPr>
        <w:t>, only 48% of mental health providers in the Northeast, which includes Massachusetts, accept private insurance. Adopting universal insurance coverage could address the problem. Lessons from the United Kingdom where universal health coverage has functioned since the 1940s could inform changes in the U.S. (</w:t>
      </w:r>
      <w:proofErr w:type="spellStart"/>
      <w:r w:rsidR="00525959">
        <w:rPr>
          <w:rFonts w:ascii="Times New Roman" w:hAnsi="Times New Roman" w:cs="Times New Roman"/>
          <w:sz w:val="24"/>
          <w:szCs w:val="24"/>
        </w:rPr>
        <w:t>Ranabhat</w:t>
      </w:r>
      <w:proofErr w:type="spellEnd"/>
      <w:r w:rsidR="00525959">
        <w:rPr>
          <w:rFonts w:ascii="Times New Roman" w:hAnsi="Times New Roman" w:cs="Times New Roman"/>
          <w:sz w:val="24"/>
          <w:szCs w:val="24"/>
        </w:rPr>
        <w:t xml:space="preserve"> et al., 2023</w:t>
      </w:r>
      <w:r w:rsidR="00C94634">
        <w:rPr>
          <w:rFonts w:ascii="Times New Roman" w:hAnsi="Times New Roman" w:cs="Times New Roman"/>
          <w:sz w:val="24"/>
          <w:szCs w:val="24"/>
        </w:rPr>
        <w:t xml:space="preserve">). In turn, this would eradicate the inequalities in access and improve health equity. </w:t>
      </w:r>
    </w:p>
    <w:p w14:paraId="24E84BDC" w14:textId="14F689C4" w:rsidR="00412D03" w:rsidRPr="00BD74D3" w:rsidRDefault="00797BBC" w:rsidP="00513A02">
      <w:pPr>
        <w:rPr>
          <w:rFonts w:ascii="Times New Roman" w:hAnsi="Times New Roman" w:cs="Times New Roman"/>
          <w:sz w:val="24"/>
          <w:szCs w:val="24"/>
        </w:rPr>
      </w:pPr>
      <w:r w:rsidRPr="00BD74D3">
        <w:rPr>
          <w:rFonts w:ascii="Times New Roman" w:hAnsi="Times New Roman" w:cs="Times New Roman"/>
          <w:sz w:val="24"/>
          <w:szCs w:val="24"/>
        </w:rPr>
        <w:tab/>
      </w:r>
      <w:r w:rsidR="00C94634">
        <w:rPr>
          <w:rFonts w:ascii="Times New Roman" w:hAnsi="Times New Roman" w:cs="Times New Roman"/>
          <w:sz w:val="24"/>
          <w:szCs w:val="24"/>
        </w:rPr>
        <w:t>Integrating cultural competency is among the strategies that PMHNPs could use to improve access to care for diverse populations. As supported by</w:t>
      </w:r>
      <w:r w:rsidR="00E94642">
        <w:rPr>
          <w:rFonts w:ascii="Times New Roman" w:hAnsi="Times New Roman" w:cs="Times New Roman"/>
          <w:sz w:val="24"/>
          <w:szCs w:val="24"/>
        </w:rPr>
        <w:t xml:space="preserve"> evidence (</w:t>
      </w:r>
      <w:r w:rsidR="00525959">
        <w:rPr>
          <w:rFonts w:ascii="Times New Roman" w:hAnsi="Times New Roman" w:cs="Times New Roman"/>
          <w:sz w:val="24"/>
          <w:szCs w:val="24"/>
        </w:rPr>
        <w:t>Kula et al., 2021</w:t>
      </w:r>
      <w:r w:rsidR="00E94642">
        <w:rPr>
          <w:rFonts w:ascii="Times New Roman" w:hAnsi="Times New Roman" w:cs="Times New Roman"/>
          <w:sz w:val="24"/>
          <w:szCs w:val="24"/>
        </w:rPr>
        <w:t xml:space="preserve">), seeking training opportunities could improve the capacity to integrate cultural competence into my practice. In addition, I will seek opportunities for diversity-focused conferences to understand other cultures’ perspectives about mental health. I also will engage in reflective practice frequently to develop self-awareness, which is essential to understanding implicit biases </w:t>
      </w:r>
      <w:r w:rsidR="00E94642">
        <w:rPr>
          <w:rFonts w:ascii="Times New Roman" w:hAnsi="Times New Roman" w:cs="Times New Roman"/>
          <w:sz w:val="24"/>
          <w:szCs w:val="24"/>
        </w:rPr>
        <w:lastRenderedPageBreak/>
        <w:t>that may affect the delivery of culturally competence care. Interaction with diverse groups in healthcare settings would also inform my efforts to integrate cultural competency in practice.</w:t>
      </w:r>
    </w:p>
    <w:p w14:paraId="7EB30C69" w14:textId="77777777" w:rsidR="00412D03" w:rsidRPr="00BD74D3" w:rsidRDefault="00412D03" w:rsidP="00412D03">
      <w:pPr>
        <w:jc w:val="center"/>
        <w:rPr>
          <w:rFonts w:ascii="Times New Roman" w:hAnsi="Times New Roman" w:cs="Times New Roman"/>
          <w:b/>
          <w:sz w:val="24"/>
          <w:szCs w:val="24"/>
        </w:rPr>
      </w:pPr>
      <w:r w:rsidRPr="00BD74D3">
        <w:rPr>
          <w:rFonts w:ascii="Times New Roman" w:hAnsi="Times New Roman" w:cs="Times New Roman"/>
          <w:b/>
          <w:sz w:val="24"/>
          <w:szCs w:val="24"/>
        </w:rPr>
        <w:t xml:space="preserve">Reference </w:t>
      </w:r>
    </w:p>
    <w:p w14:paraId="1BCDAC67" w14:textId="77777777" w:rsidR="00525959" w:rsidRDefault="00525959" w:rsidP="00537DFA">
      <w:pPr>
        <w:ind w:left="720" w:hanging="720"/>
        <w:rPr>
          <w:rFonts w:ascii="Times New Roman" w:eastAsia="Times New Roman" w:hAnsi="Times New Roman" w:cs="Times New Roman"/>
          <w:sz w:val="24"/>
          <w:szCs w:val="24"/>
          <w:lang w:val="en-GB" w:eastAsia="en-GB"/>
        </w:rPr>
      </w:pPr>
      <w:r w:rsidRPr="00BD74D3">
        <w:rPr>
          <w:rFonts w:ascii="Times New Roman" w:hAnsi="Times New Roman" w:cs="Times New Roman"/>
          <w:color w:val="222222"/>
          <w:sz w:val="24"/>
          <w:szCs w:val="24"/>
          <w:shd w:val="clear" w:color="auto" w:fill="FFFFFF"/>
        </w:rPr>
        <w:t xml:space="preserve"> </w:t>
      </w:r>
      <w:r w:rsidRPr="00537DFA">
        <w:rPr>
          <w:rFonts w:ascii="Times New Roman" w:eastAsia="Times New Roman" w:hAnsi="Times New Roman" w:cs="Times New Roman"/>
          <w:sz w:val="24"/>
          <w:szCs w:val="24"/>
          <w:lang w:val="en-GB" w:eastAsia="en-GB"/>
        </w:rPr>
        <w:t xml:space="preserve">Almeida M. (2021). I treat mental illness every day, yet I cannot find mental health treatment when I need it. </w:t>
      </w:r>
      <w:r w:rsidRPr="00537DFA">
        <w:rPr>
          <w:rFonts w:ascii="Times New Roman" w:eastAsia="Times New Roman" w:hAnsi="Times New Roman" w:cs="Times New Roman"/>
          <w:i/>
          <w:iCs/>
          <w:sz w:val="24"/>
          <w:szCs w:val="24"/>
          <w:lang w:val="en-GB" w:eastAsia="en-GB"/>
        </w:rPr>
        <w:t xml:space="preserve">Epidemiology and </w:t>
      </w:r>
      <w:r w:rsidRPr="00537DFA">
        <w:rPr>
          <w:rFonts w:ascii="Times New Roman" w:eastAsia="Times New Roman" w:hAnsi="Times New Roman" w:cs="Times New Roman"/>
          <w:i/>
          <w:iCs/>
          <w:sz w:val="24"/>
          <w:szCs w:val="24"/>
          <w:lang w:val="en-GB" w:eastAsia="en-GB"/>
        </w:rPr>
        <w:t>Psychiatric Sciences</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30</w:t>
      </w:r>
      <w:r w:rsidRPr="00537DFA">
        <w:rPr>
          <w:rFonts w:ascii="Times New Roman" w:eastAsia="Times New Roman" w:hAnsi="Times New Roman" w:cs="Times New Roman"/>
          <w:sz w:val="24"/>
          <w:szCs w:val="24"/>
          <w:lang w:val="en-GB" w:eastAsia="en-GB"/>
        </w:rPr>
        <w:t xml:space="preserve">, e2. </w:t>
      </w:r>
      <w:hyperlink r:id="rId4" w:history="1">
        <w:r w:rsidRPr="00E811CE">
          <w:rPr>
            <w:rStyle w:val="Hyperlink"/>
            <w:rFonts w:ascii="Times New Roman" w:eastAsia="Times New Roman" w:hAnsi="Times New Roman" w:cs="Times New Roman"/>
            <w:sz w:val="24"/>
            <w:szCs w:val="24"/>
            <w:lang w:val="en-GB" w:eastAsia="en-GB"/>
          </w:rPr>
          <w:t>https://doi.org/10.1017/S2045796020001092</w:t>
        </w:r>
      </w:hyperlink>
      <w:r>
        <w:rPr>
          <w:rFonts w:ascii="Times New Roman" w:eastAsia="Times New Roman" w:hAnsi="Times New Roman" w:cs="Times New Roman"/>
          <w:sz w:val="24"/>
          <w:szCs w:val="24"/>
          <w:lang w:val="en-GB" w:eastAsia="en-GB"/>
        </w:rPr>
        <w:t xml:space="preserve"> </w:t>
      </w:r>
    </w:p>
    <w:p w14:paraId="3C5BBCF1" w14:textId="77777777" w:rsidR="00525959" w:rsidRDefault="00525959" w:rsidP="00525959">
      <w:pPr>
        <w:ind w:left="720" w:hanging="720"/>
        <w:rPr>
          <w:rFonts w:ascii="Times New Roman" w:eastAsia="Times New Roman" w:hAnsi="Times New Roman" w:cs="Times New Roman"/>
          <w:sz w:val="24"/>
          <w:szCs w:val="24"/>
          <w:lang w:val="en-GB" w:eastAsia="en-GB"/>
        </w:rPr>
      </w:pPr>
      <w:proofErr w:type="spellStart"/>
      <w:r w:rsidRPr="00525959">
        <w:rPr>
          <w:rFonts w:ascii="Times New Roman" w:eastAsia="Times New Roman" w:hAnsi="Times New Roman" w:cs="Times New Roman"/>
          <w:sz w:val="24"/>
          <w:szCs w:val="24"/>
          <w:lang w:val="en-GB" w:eastAsia="en-GB"/>
        </w:rPr>
        <w:t>Bornheimer</w:t>
      </w:r>
      <w:proofErr w:type="spellEnd"/>
      <w:r w:rsidRPr="00525959">
        <w:rPr>
          <w:rFonts w:ascii="Times New Roman" w:eastAsia="Times New Roman" w:hAnsi="Times New Roman" w:cs="Times New Roman"/>
          <w:sz w:val="24"/>
          <w:szCs w:val="24"/>
          <w:lang w:val="en-GB" w:eastAsia="en-GB"/>
        </w:rPr>
        <w:t xml:space="preserve">, L. A., Li </w:t>
      </w:r>
      <w:proofErr w:type="spellStart"/>
      <w:r w:rsidRPr="00525959">
        <w:rPr>
          <w:rFonts w:ascii="Times New Roman" w:eastAsia="Times New Roman" w:hAnsi="Times New Roman" w:cs="Times New Roman"/>
          <w:sz w:val="24"/>
          <w:szCs w:val="24"/>
          <w:lang w:val="en-GB" w:eastAsia="en-GB"/>
        </w:rPr>
        <w:t>Verdugo</w:t>
      </w:r>
      <w:proofErr w:type="spellEnd"/>
      <w:r w:rsidRPr="00525959">
        <w:rPr>
          <w:rFonts w:ascii="Times New Roman" w:eastAsia="Times New Roman" w:hAnsi="Times New Roman" w:cs="Times New Roman"/>
          <w:sz w:val="24"/>
          <w:szCs w:val="24"/>
          <w:lang w:val="en-GB" w:eastAsia="en-GB"/>
        </w:rPr>
        <w:t xml:space="preserve">, J., </w:t>
      </w:r>
      <w:proofErr w:type="spellStart"/>
      <w:r w:rsidRPr="00525959">
        <w:rPr>
          <w:rFonts w:ascii="Times New Roman" w:eastAsia="Times New Roman" w:hAnsi="Times New Roman" w:cs="Times New Roman"/>
          <w:sz w:val="24"/>
          <w:szCs w:val="24"/>
          <w:lang w:val="en-GB" w:eastAsia="en-GB"/>
        </w:rPr>
        <w:t>Holzworth</w:t>
      </w:r>
      <w:proofErr w:type="spellEnd"/>
      <w:r w:rsidRPr="00525959">
        <w:rPr>
          <w:rFonts w:ascii="Times New Roman" w:eastAsia="Times New Roman" w:hAnsi="Times New Roman" w:cs="Times New Roman"/>
          <w:sz w:val="24"/>
          <w:szCs w:val="24"/>
          <w:lang w:val="en-GB" w:eastAsia="en-GB"/>
        </w:rPr>
        <w:t xml:space="preserve">, J., Smith, F. N., &amp; </w:t>
      </w:r>
      <w:proofErr w:type="spellStart"/>
      <w:r w:rsidRPr="00525959">
        <w:rPr>
          <w:rFonts w:ascii="Times New Roman" w:eastAsia="Times New Roman" w:hAnsi="Times New Roman" w:cs="Times New Roman"/>
          <w:sz w:val="24"/>
          <w:szCs w:val="24"/>
          <w:lang w:val="en-GB" w:eastAsia="en-GB"/>
        </w:rPr>
        <w:t>Himle</w:t>
      </w:r>
      <w:proofErr w:type="spellEnd"/>
      <w:r w:rsidRPr="00525959">
        <w:rPr>
          <w:rFonts w:ascii="Times New Roman" w:eastAsia="Times New Roman" w:hAnsi="Times New Roman" w:cs="Times New Roman"/>
          <w:sz w:val="24"/>
          <w:szCs w:val="24"/>
          <w:lang w:val="en-GB" w:eastAsia="en-GB"/>
        </w:rPr>
        <w:t xml:space="preserve">, J. A. (2022). Mental health provider perspectives of the COVID-19 pandemic impact on service delivery: a focus on challenges in remote engagement, suicide risk assessment, and treatment of psychosis. </w:t>
      </w:r>
      <w:r w:rsidRPr="00525959">
        <w:rPr>
          <w:rFonts w:ascii="Times New Roman" w:eastAsia="Times New Roman" w:hAnsi="Times New Roman" w:cs="Times New Roman"/>
          <w:i/>
          <w:iCs/>
          <w:sz w:val="24"/>
          <w:szCs w:val="24"/>
          <w:lang w:val="en-GB" w:eastAsia="en-GB"/>
        </w:rPr>
        <w:t xml:space="preserve">BMC </w:t>
      </w:r>
      <w:r w:rsidRPr="00525959">
        <w:rPr>
          <w:rFonts w:ascii="Times New Roman" w:eastAsia="Times New Roman" w:hAnsi="Times New Roman" w:cs="Times New Roman"/>
          <w:i/>
          <w:iCs/>
          <w:sz w:val="24"/>
          <w:szCs w:val="24"/>
          <w:lang w:val="en-GB" w:eastAsia="en-GB"/>
        </w:rPr>
        <w:t>Health Services Research</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22</w:t>
      </w:r>
      <w:r w:rsidRPr="00525959">
        <w:rPr>
          <w:rFonts w:ascii="Times New Roman" w:eastAsia="Times New Roman" w:hAnsi="Times New Roman" w:cs="Times New Roman"/>
          <w:sz w:val="24"/>
          <w:szCs w:val="24"/>
          <w:lang w:val="en-GB" w:eastAsia="en-GB"/>
        </w:rPr>
        <w:t xml:space="preserve">(1), 718. </w:t>
      </w:r>
      <w:hyperlink r:id="rId5" w:history="1">
        <w:r w:rsidRPr="00525959">
          <w:rPr>
            <w:rStyle w:val="Hyperlink"/>
            <w:rFonts w:ascii="Times New Roman" w:eastAsia="Times New Roman" w:hAnsi="Times New Roman" w:cs="Times New Roman"/>
            <w:sz w:val="24"/>
            <w:szCs w:val="24"/>
            <w:lang w:val="en-GB" w:eastAsia="en-GB"/>
          </w:rPr>
          <w:t>https://doi.org/10.1186/s12913-022-08106-y</w:t>
        </w:r>
      </w:hyperlink>
      <w:r>
        <w:rPr>
          <w:rFonts w:ascii="Times New Roman" w:eastAsia="Times New Roman" w:hAnsi="Times New Roman" w:cs="Times New Roman"/>
          <w:sz w:val="24"/>
          <w:szCs w:val="24"/>
          <w:lang w:val="en-GB" w:eastAsia="en-GB"/>
        </w:rPr>
        <w:t xml:space="preserve"> </w:t>
      </w:r>
    </w:p>
    <w:p w14:paraId="266C3501" w14:textId="77777777" w:rsidR="00525959" w:rsidRDefault="00525959" w:rsidP="00525959">
      <w:pPr>
        <w:ind w:left="720" w:hanging="720"/>
        <w:rPr>
          <w:rFonts w:ascii="Times New Roman" w:eastAsia="Times New Roman" w:hAnsi="Times New Roman" w:cs="Times New Roman"/>
          <w:sz w:val="24"/>
          <w:szCs w:val="24"/>
          <w:lang w:val="en-GB" w:eastAsia="en-GB"/>
        </w:rPr>
      </w:pPr>
      <w:r w:rsidRPr="00525959">
        <w:rPr>
          <w:rFonts w:ascii="Times New Roman" w:eastAsia="Times New Roman" w:hAnsi="Times New Roman" w:cs="Times New Roman"/>
          <w:sz w:val="24"/>
          <w:szCs w:val="24"/>
          <w:lang w:val="en-GB" w:eastAsia="en-GB"/>
        </w:rPr>
        <w:t xml:space="preserve">Freund, K. M., LeClair, A., </w:t>
      </w:r>
      <w:proofErr w:type="spellStart"/>
      <w:r w:rsidRPr="00525959">
        <w:rPr>
          <w:rFonts w:ascii="Times New Roman" w:eastAsia="Times New Roman" w:hAnsi="Times New Roman" w:cs="Times New Roman"/>
          <w:sz w:val="24"/>
          <w:szCs w:val="24"/>
          <w:lang w:val="en-GB" w:eastAsia="en-GB"/>
        </w:rPr>
        <w:t>Terrin</w:t>
      </w:r>
      <w:proofErr w:type="spellEnd"/>
      <w:r w:rsidRPr="00525959">
        <w:rPr>
          <w:rFonts w:ascii="Times New Roman" w:eastAsia="Times New Roman" w:hAnsi="Times New Roman" w:cs="Times New Roman"/>
          <w:sz w:val="24"/>
          <w:szCs w:val="24"/>
          <w:lang w:val="en-GB" w:eastAsia="en-GB"/>
        </w:rPr>
        <w:t xml:space="preserve">, N., </w:t>
      </w:r>
      <w:proofErr w:type="spellStart"/>
      <w:r w:rsidRPr="00525959">
        <w:rPr>
          <w:rFonts w:ascii="Times New Roman" w:eastAsia="Times New Roman" w:hAnsi="Times New Roman" w:cs="Times New Roman"/>
          <w:sz w:val="24"/>
          <w:szCs w:val="24"/>
          <w:lang w:val="en-GB" w:eastAsia="en-GB"/>
        </w:rPr>
        <w:t>Hanchate</w:t>
      </w:r>
      <w:proofErr w:type="spellEnd"/>
      <w:r w:rsidRPr="00525959">
        <w:rPr>
          <w:rFonts w:ascii="Times New Roman" w:eastAsia="Times New Roman" w:hAnsi="Times New Roman" w:cs="Times New Roman"/>
          <w:sz w:val="24"/>
          <w:szCs w:val="24"/>
          <w:lang w:val="en-GB" w:eastAsia="en-GB"/>
        </w:rPr>
        <w:t xml:space="preserve">, A. D., Price, L. L., Moreno-Koehler, A., </w:t>
      </w:r>
      <w:proofErr w:type="spellStart"/>
      <w:r w:rsidRPr="00525959">
        <w:rPr>
          <w:rFonts w:ascii="Times New Roman" w:eastAsia="Times New Roman" w:hAnsi="Times New Roman" w:cs="Times New Roman"/>
          <w:sz w:val="24"/>
          <w:szCs w:val="24"/>
          <w:lang w:val="en-GB" w:eastAsia="en-GB"/>
        </w:rPr>
        <w:t>Suzukida</w:t>
      </w:r>
      <w:proofErr w:type="spellEnd"/>
      <w:r w:rsidRPr="00525959">
        <w:rPr>
          <w:rFonts w:ascii="Times New Roman" w:eastAsia="Times New Roman" w:hAnsi="Times New Roman" w:cs="Times New Roman"/>
          <w:sz w:val="24"/>
          <w:szCs w:val="24"/>
          <w:lang w:val="en-GB" w:eastAsia="en-GB"/>
        </w:rPr>
        <w:t xml:space="preserve">, J., </w:t>
      </w:r>
      <w:proofErr w:type="spellStart"/>
      <w:r w:rsidRPr="00525959">
        <w:rPr>
          <w:rFonts w:ascii="Times New Roman" w:eastAsia="Times New Roman" w:hAnsi="Times New Roman" w:cs="Times New Roman"/>
          <w:sz w:val="24"/>
          <w:szCs w:val="24"/>
          <w:lang w:val="en-GB" w:eastAsia="en-GB"/>
        </w:rPr>
        <w:t>Kher</w:t>
      </w:r>
      <w:proofErr w:type="spellEnd"/>
      <w:r w:rsidRPr="00525959">
        <w:rPr>
          <w:rFonts w:ascii="Times New Roman" w:eastAsia="Times New Roman" w:hAnsi="Times New Roman" w:cs="Times New Roman"/>
          <w:sz w:val="24"/>
          <w:szCs w:val="24"/>
          <w:lang w:val="en-GB" w:eastAsia="en-GB"/>
        </w:rPr>
        <w:t xml:space="preserve">, S., </w:t>
      </w:r>
      <w:proofErr w:type="spellStart"/>
      <w:r w:rsidRPr="00525959">
        <w:rPr>
          <w:rFonts w:ascii="Times New Roman" w:eastAsia="Times New Roman" w:hAnsi="Times New Roman" w:cs="Times New Roman"/>
          <w:sz w:val="24"/>
          <w:szCs w:val="24"/>
          <w:lang w:val="en-GB" w:eastAsia="en-GB"/>
        </w:rPr>
        <w:t>Byhoff</w:t>
      </w:r>
      <w:proofErr w:type="spellEnd"/>
      <w:r w:rsidRPr="00525959">
        <w:rPr>
          <w:rFonts w:ascii="Times New Roman" w:eastAsia="Times New Roman" w:hAnsi="Times New Roman" w:cs="Times New Roman"/>
          <w:sz w:val="24"/>
          <w:szCs w:val="24"/>
          <w:lang w:val="en-GB" w:eastAsia="en-GB"/>
        </w:rPr>
        <w:t xml:space="preserve">, E., &amp; </w:t>
      </w:r>
      <w:proofErr w:type="spellStart"/>
      <w:r w:rsidRPr="00525959">
        <w:rPr>
          <w:rFonts w:ascii="Times New Roman" w:eastAsia="Times New Roman" w:hAnsi="Times New Roman" w:cs="Times New Roman"/>
          <w:sz w:val="24"/>
          <w:szCs w:val="24"/>
          <w:lang w:val="en-GB" w:eastAsia="en-GB"/>
        </w:rPr>
        <w:t>Kressin</w:t>
      </w:r>
      <w:proofErr w:type="spellEnd"/>
      <w:r w:rsidRPr="00525959">
        <w:rPr>
          <w:rFonts w:ascii="Times New Roman" w:eastAsia="Times New Roman" w:hAnsi="Times New Roman" w:cs="Times New Roman"/>
          <w:sz w:val="24"/>
          <w:szCs w:val="24"/>
          <w:lang w:val="en-GB" w:eastAsia="en-GB"/>
        </w:rPr>
        <w:t xml:space="preserve">, N. R. (2019). Racial </w:t>
      </w:r>
      <w:r w:rsidRPr="00525959">
        <w:rPr>
          <w:rFonts w:ascii="Times New Roman" w:eastAsia="Times New Roman" w:hAnsi="Times New Roman" w:cs="Times New Roman"/>
          <w:sz w:val="24"/>
          <w:szCs w:val="24"/>
          <w:lang w:val="en-GB" w:eastAsia="en-GB"/>
        </w:rPr>
        <w:t>differences in insurance stability after health insurance reform</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 xml:space="preserve">Medical </w:t>
      </w:r>
      <w:r w:rsidRPr="00525959">
        <w:rPr>
          <w:rFonts w:ascii="Times New Roman" w:eastAsia="Times New Roman" w:hAnsi="Times New Roman" w:cs="Times New Roman"/>
          <w:i/>
          <w:iCs/>
          <w:sz w:val="24"/>
          <w:szCs w:val="24"/>
          <w:lang w:val="en-GB" w:eastAsia="en-GB"/>
        </w:rPr>
        <w:t>Care</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57</w:t>
      </w:r>
      <w:r w:rsidRPr="00525959">
        <w:rPr>
          <w:rFonts w:ascii="Times New Roman" w:eastAsia="Times New Roman" w:hAnsi="Times New Roman" w:cs="Times New Roman"/>
          <w:sz w:val="24"/>
          <w:szCs w:val="24"/>
          <w:lang w:val="en-GB" w:eastAsia="en-GB"/>
        </w:rPr>
        <w:t xml:space="preserve">(4), 256–261. </w:t>
      </w:r>
      <w:hyperlink r:id="rId6" w:history="1">
        <w:r w:rsidRPr="00525959">
          <w:rPr>
            <w:rStyle w:val="Hyperlink"/>
            <w:rFonts w:ascii="Times New Roman" w:eastAsia="Times New Roman" w:hAnsi="Times New Roman" w:cs="Times New Roman"/>
            <w:sz w:val="24"/>
            <w:szCs w:val="24"/>
            <w:lang w:val="en-GB" w:eastAsia="en-GB"/>
          </w:rPr>
          <w:t>https://doi.org/10.1097/MLR.0000000000001078</w:t>
        </w:r>
      </w:hyperlink>
      <w:r>
        <w:rPr>
          <w:rFonts w:ascii="Times New Roman" w:eastAsia="Times New Roman" w:hAnsi="Times New Roman" w:cs="Times New Roman"/>
          <w:sz w:val="24"/>
          <w:szCs w:val="24"/>
          <w:lang w:val="en-GB" w:eastAsia="en-GB"/>
        </w:rPr>
        <w:t xml:space="preserve"> </w:t>
      </w:r>
    </w:p>
    <w:p w14:paraId="203A3DD5" w14:textId="77777777" w:rsidR="00525959" w:rsidRDefault="00525959" w:rsidP="00537DFA">
      <w:pPr>
        <w:ind w:left="720" w:hanging="720"/>
        <w:rPr>
          <w:rFonts w:ascii="Times New Roman" w:eastAsia="Times New Roman" w:hAnsi="Times New Roman" w:cs="Times New Roman"/>
          <w:sz w:val="24"/>
          <w:szCs w:val="24"/>
          <w:lang w:val="en-GB" w:eastAsia="en-GB"/>
        </w:rPr>
      </w:pPr>
      <w:r w:rsidRPr="00537DFA">
        <w:rPr>
          <w:rFonts w:ascii="Times New Roman" w:eastAsia="Times New Roman" w:hAnsi="Times New Roman" w:cs="Times New Roman"/>
          <w:sz w:val="24"/>
          <w:szCs w:val="24"/>
          <w:lang w:val="en-GB" w:eastAsia="en-GB"/>
        </w:rPr>
        <w:t xml:space="preserve">Jimenez, D. E., Park, M., Rosen, D., </w:t>
      </w:r>
      <w:proofErr w:type="spellStart"/>
      <w:r w:rsidRPr="00537DFA">
        <w:rPr>
          <w:rFonts w:ascii="Times New Roman" w:eastAsia="Times New Roman" w:hAnsi="Times New Roman" w:cs="Times New Roman"/>
          <w:sz w:val="24"/>
          <w:szCs w:val="24"/>
          <w:lang w:val="en-GB" w:eastAsia="en-GB"/>
        </w:rPr>
        <w:t>Joo</w:t>
      </w:r>
      <w:proofErr w:type="spellEnd"/>
      <w:r w:rsidRPr="00537DFA">
        <w:rPr>
          <w:rFonts w:ascii="Times New Roman" w:eastAsia="Times New Roman" w:hAnsi="Times New Roman" w:cs="Times New Roman"/>
          <w:sz w:val="24"/>
          <w:szCs w:val="24"/>
          <w:lang w:val="en-GB" w:eastAsia="en-GB"/>
        </w:rPr>
        <w:t xml:space="preserve">, J. H., Garza, D. M., Weinstein, E. R., Conner, K., Silva, C., &amp; Okereke, O. (2022). </w:t>
      </w:r>
      <w:proofErr w:type="spellStart"/>
      <w:r w:rsidRPr="00537DFA">
        <w:rPr>
          <w:rFonts w:ascii="Times New Roman" w:eastAsia="Times New Roman" w:hAnsi="Times New Roman" w:cs="Times New Roman"/>
          <w:sz w:val="24"/>
          <w:szCs w:val="24"/>
          <w:lang w:val="en-GB" w:eastAsia="en-GB"/>
        </w:rPr>
        <w:t>Centering</w:t>
      </w:r>
      <w:proofErr w:type="spellEnd"/>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sz w:val="24"/>
          <w:szCs w:val="24"/>
          <w:lang w:val="en-GB" w:eastAsia="en-GB"/>
        </w:rPr>
        <w:t>culture in mental health</w:t>
      </w:r>
      <w:r w:rsidRPr="00537DFA">
        <w:rPr>
          <w:rFonts w:ascii="Times New Roman" w:eastAsia="Times New Roman" w:hAnsi="Times New Roman" w:cs="Times New Roman"/>
          <w:sz w:val="24"/>
          <w:szCs w:val="24"/>
          <w:lang w:val="en-GB" w:eastAsia="en-GB"/>
        </w:rPr>
        <w:t xml:space="preserve">: Differences in </w:t>
      </w:r>
      <w:r w:rsidRPr="00537DFA">
        <w:rPr>
          <w:rFonts w:ascii="Times New Roman" w:eastAsia="Times New Roman" w:hAnsi="Times New Roman" w:cs="Times New Roman"/>
          <w:sz w:val="24"/>
          <w:szCs w:val="24"/>
          <w:lang w:val="en-GB" w:eastAsia="en-GB"/>
        </w:rPr>
        <w:t xml:space="preserve">diagnosis, treatment, and access to care among older people of </w:t>
      </w:r>
      <w:proofErr w:type="spellStart"/>
      <w:r w:rsidRPr="00537DFA">
        <w:rPr>
          <w:rFonts w:ascii="Times New Roman" w:eastAsia="Times New Roman" w:hAnsi="Times New Roman" w:cs="Times New Roman"/>
          <w:sz w:val="24"/>
          <w:szCs w:val="24"/>
          <w:lang w:val="en-GB" w:eastAsia="en-GB"/>
        </w:rPr>
        <w:t>color</w:t>
      </w:r>
      <w:proofErr w:type="spellEnd"/>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 xml:space="preserve">The American </w:t>
      </w:r>
      <w:r w:rsidRPr="00537DFA">
        <w:rPr>
          <w:rFonts w:ascii="Times New Roman" w:eastAsia="Times New Roman" w:hAnsi="Times New Roman" w:cs="Times New Roman"/>
          <w:i/>
          <w:iCs/>
          <w:sz w:val="24"/>
          <w:szCs w:val="24"/>
          <w:lang w:val="en-GB" w:eastAsia="en-GB"/>
        </w:rPr>
        <w:t xml:space="preserve">Journal </w:t>
      </w:r>
      <w:r w:rsidRPr="00537DFA">
        <w:rPr>
          <w:rFonts w:ascii="Times New Roman" w:eastAsia="Times New Roman" w:hAnsi="Times New Roman" w:cs="Times New Roman"/>
          <w:i/>
          <w:iCs/>
          <w:sz w:val="24"/>
          <w:szCs w:val="24"/>
          <w:lang w:val="en-GB" w:eastAsia="en-GB"/>
        </w:rPr>
        <w:t xml:space="preserve">of </w:t>
      </w:r>
      <w:r w:rsidRPr="00537DFA">
        <w:rPr>
          <w:rFonts w:ascii="Times New Roman" w:eastAsia="Times New Roman" w:hAnsi="Times New Roman" w:cs="Times New Roman"/>
          <w:i/>
          <w:iCs/>
          <w:sz w:val="24"/>
          <w:szCs w:val="24"/>
          <w:lang w:val="en-GB" w:eastAsia="en-GB"/>
        </w:rPr>
        <w:t>Geriatric Psychiatry</w:t>
      </w:r>
      <w:r w:rsidRPr="00537DFA">
        <w:rPr>
          <w:rFonts w:ascii="Times New Roman" w:eastAsia="Times New Roman" w:hAnsi="Times New Roman" w:cs="Times New Roman"/>
          <w:i/>
          <w:iCs/>
          <w:sz w:val="24"/>
          <w:szCs w:val="24"/>
          <w:lang w:val="en-GB" w:eastAsia="en-GB"/>
        </w:rPr>
        <w:t xml:space="preserve">: </w:t>
      </w:r>
      <w:r w:rsidRPr="00537DFA">
        <w:rPr>
          <w:rFonts w:ascii="Times New Roman" w:eastAsia="Times New Roman" w:hAnsi="Times New Roman" w:cs="Times New Roman"/>
          <w:i/>
          <w:iCs/>
          <w:sz w:val="24"/>
          <w:szCs w:val="24"/>
          <w:lang w:val="en-GB" w:eastAsia="en-GB"/>
        </w:rPr>
        <w:t xml:space="preserve">Official Journal </w:t>
      </w:r>
      <w:r w:rsidRPr="00537DFA">
        <w:rPr>
          <w:rFonts w:ascii="Times New Roman" w:eastAsia="Times New Roman" w:hAnsi="Times New Roman" w:cs="Times New Roman"/>
          <w:i/>
          <w:iCs/>
          <w:sz w:val="24"/>
          <w:szCs w:val="24"/>
          <w:lang w:val="en-GB" w:eastAsia="en-GB"/>
        </w:rPr>
        <w:t>of the American Association for Geriatric Psychiatry</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30</w:t>
      </w:r>
      <w:r w:rsidRPr="00537DFA">
        <w:rPr>
          <w:rFonts w:ascii="Times New Roman" w:eastAsia="Times New Roman" w:hAnsi="Times New Roman" w:cs="Times New Roman"/>
          <w:sz w:val="24"/>
          <w:szCs w:val="24"/>
          <w:lang w:val="en-GB" w:eastAsia="en-GB"/>
        </w:rPr>
        <w:t xml:space="preserve">(11), 1234–1251. </w:t>
      </w:r>
      <w:hyperlink r:id="rId7" w:history="1">
        <w:r w:rsidRPr="00537DFA">
          <w:rPr>
            <w:rStyle w:val="Hyperlink"/>
            <w:rFonts w:ascii="Times New Roman" w:eastAsia="Times New Roman" w:hAnsi="Times New Roman" w:cs="Times New Roman"/>
            <w:sz w:val="24"/>
            <w:szCs w:val="24"/>
            <w:lang w:val="en-GB" w:eastAsia="en-GB"/>
          </w:rPr>
          <w:t>https://doi.org/10.1016/j.jagp.2022.07.001</w:t>
        </w:r>
      </w:hyperlink>
      <w:r>
        <w:rPr>
          <w:rFonts w:ascii="Times New Roman" w:eastAsia="Times New Roman" w:hAnsi="Times New Roman" w:cs="Times New Roman"/>
          <w:sz w:val="24"/>
          <w:szCs w:val="24"/>
          <w:lang w:val="en-GB" w:eastAsia="en-GB"/>
        </w:rPr>
        <w:t xml:space="preserve"> </w:t>
      </w:r>
    </w:p>
    <w:p w14:paraId="7562DF61" w14:textId="77777777" w:rsidR="00525959" w:rsidRPr="00537DFA" w:rsidRDefault="00525959" w:rsidP="00525959">
      <w:pPr>
        <w:ind w:left="720" w:hanging="720"/>
        <w:rPr>
          <w:rFonts w:ascii="Times New Roman" w:eastAsia="Times New Roman" w:hAnsi="Times New Roman" w:cs="Times New Roman"/>
          <w:sz w:val="24"/>
          <w:szCs w:val="24"/>
          <w:lang w:val="en-GB" w:eastAsia="en-GB"/>
        </w:rPr>
      </w:pPr>
      <w:r w:rsidRPr="00525959">
        <w:rPr>
          <w:rFonts w:ascii="Times New Roman" w:eastAsia="Times New Roman" w:hAnsi="Times New Roman" w:cs="Times New Roman"/>
          <w:sz w:val="24"/>
          <w:szCs w:val="24"/>
          <w:lang w:val="en-GB" w:eastAsia="en-GB"/>
        </w:rPr>
        <w:t xml:space="preserve">Kula, Y., Cohen, O., </w:t>
      </w:r>
      <w:proofErr w:type="spellStart"/>
      <w:r w:rsidRPr="00525959">
        <w:rPr>
          <w:rFonts w:ascii="Times New Roman" w:eastAsia="Times New Roman" w:hAnsi="Times New Roman" w:cs="Times New Roman"/>
          <w:sz w:val="24"/>
          <w:szCs w:val="24"/>
          <w:lang w:val="en-GB" w:eastAsia="en-GB"/>
        </w:rPr>
        <w:t>Clempert</w:t>
      </w:r>
      <w:proofErr w:type="spellEnd"/>
      <w:r w:rsidRPr="00525959">
        <w:rPr>
          <w:rFonts w:ascii="Times New Roman" w:eastAsia="Times New Roman" w:hAnsi="Times New Roman" w:cs="Times New Roman"/>
          <w:sz w:val="24"/>
          <w:szCs w:val="24"/>
          <w:lang w:val="en-GB" w:eastAsia="en-GB"/>
        </w:rPr>
        <w:t xml:space="preserve">, N., Grinstein-Cohen, O., &amp; </w:t>
      </w:r>
      <w:proofErr w:type="spellStart"/>
      <w:r w:rsidRPr="00525959">
        <w:rPr>
          <w:rFonts w:ascii="Times New Roman" w:eastAsia="Times New Roman" w:hAnsi="Times New Roman" w:cs="Times New Roman"/>
          <w:sz w:val="24"/>
          <w:szCs w:val="24"/>
          <w:lang w:val="en-GB" w:eastAsia="en-GB"/>
        </w:rPr>
        <w:t>Slobodin</w:t>
      </w:r>
      <w:proofErr w:type="spellEnd"/>
      <w:r w:rsidRPr="00525959">
        <w:rPr>
          <w:rFonts w:ascii="Times New Roman" w:eastAsia="Times New Roman" w:hAnsi="Times New Roman" w:cs="Times New Roman"/>
          <w:sz w:val="24"/>
          <w:szCs w:val="24"/>
          <w:lang w:val="en-GB" w:eastAsia="en-GB"/>
        </w:rPr>
        <w:t xml:space="preserve">, O. (2021). Educating nursing students for cultural competence in emergencies: a randomized controlled trial. </w:t>
      </w:r>
      <w:r w:rsidRPr="00525959">
        <w:rPr>
          <w:rFonts w:ascii="Times New Roman" w:eastAsia="Times New Roman" w:hAnsi="Times New Roman" w:cs="Times New Roman"/>
          <w:i/>
          <w:iCs/>
          <w:sz w:val="24"/>
          <w:szCs w:val="24"/>
          <w:lang w:val="en-GB" w:eastAsia="en-GB"/>
        </w:rPr>
        <w:t xml:space="preserve">BMC </w:t>
      </w:r>
      <w:r w:rsidRPr="00525959">
        <w:rPr>
          <w:rFonts w:ascii="Times New Roman" w:eastAsia="Times New Roman" w:hAnsi="Times New Roman" w:cs="Times New Roman"/>
          <w:i/>
          <w:iCs/>
          <w:sz w:val="24"/>
          <w:szCs w:val="24"/>
          <w:lang w:val="en-GB" w:eastAsia="en-GB"/>
        </w:rPr>
        <w:t>Nursing</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20</w:t>
      </w:r>
      <w:r w:rsidRPr="00525959">
        <w:rPr>
          <w:rFonts w:ascii="Times New Roman" w:eastAsia="Times New Roman" w:hAnsi="Times New Roman" w:cs="Times New Roman"/>
          <w:sz w:val="24"/>
          <w:szCs w:val="24"/>
          <w:lang w:val="en-GB" w:eastAsia="en-GB"/>
        </w:rPr>
        <w:t xml:space="preserve">(1), 184. </w:t>
      </w:r>
      <w:hyperlink r:id="rId8" w:history="1">
        <w:r w:rsidRPr="00525959">
          <w:rPr>
            <w:rStyle w:val="Hyperlink"/>
            <w:rFonts w:ascii="Times New Roman" w:eastAsia="Times New Roman" w:hAnsi="Times New Roman" w:cs="Times New Roman"/>
            <w:sz w:val="24"/>
            <w:szCs w:val="24"/>
            <w:lang w:val="en-GB" w:eastAsia="en-GB"/>
          </w:rPr>
          <w:t>https://doi.org/10.1186/s12912-021-00704-1</w:t>
        </w:r>
      </w:hyperlink>
      <w:r>
        <w:rPr>
          <w:rFonts w:ascii="Times New Roman" w:eastAsia="Times New Roman" w:hAnsi="Times New Roman" w:cs="Times New Roman"/>
          <w:sz w:val="24"/>
          <w:szCs w:val="24"/>
          <w:lang w:val="en-GB" w:eastAsia="en-GB"/>
        </w:rPr>
        <w:t xml:space="preserve"> </w:t>
      </w:r>
    </w:p>
    <w:p w14:paraId="6D20859F" w14:textId="77777777" w:rsidR="00525959" w:rsidRDefault="00525959" w:rsidP="00525959">
      <w:pPr>
        <w:ind w:left="720" w:hanging="720"/>
        <w:rPr>
          <w:rFonts w:ascii="Times New Roman" w:eastAsia="Times New Roman" w:hAnsi="Times New Roman" w:cs="Times New Roman"/>
          <w:sz w:val="24"/>
          <w:szCs w:val="24"/>
          <w:lang w:val="en-GB" w:eastAsia="en-GB"/>
        </w:rPr>
      </w:pPr>
      <w:r w:rsidRPr="00525959">
        <w:rPr>
          <w:rFonts w:ascii="Times New Roman" w:eastAsia="Times New Roman" w:hAnsi="Times New Roman" w:cs="Times New Roman"/>
          <w:sz w:val="24"/>
          <w:szCs w:val="24"/>
          <w:lang w:val="en-GB" w:eastAsia="en-GB"/>
        </w:rPr>
        <w:lastRenderedPageBreak/>
        <w:t xml:space="preserve">Peng, D., Wang, Z., &amp; Xu, Y. (2020). Challenges and opportunities in mental health services during the COVID-19 pandemic. </w:t>
      </w:r>
      <w:r w:rsidRPr="00525959">
        <w:rPr>
          <w:rFonts w:ascii="Times New Roman" w:eastAsia="Times New Roman" w:hAnsi="Times New Roman" w:cs="Times New Roman"/>
          <w:i/>
          <w:iCs/>
          <w:sz w:val="24"/>
          <w:szCs w:val="24"/>
          <w:lang w:val="en-GB" w:eastAsia="en-GB"/>
        </w:rPr>
        <w:t xml:space="preserve">General </w:t>
      </w:r>
      <w:r w:rsidRPr="00525959">
        <w:rPr>
          <w:rFonts w:ascii="Times New Roman" w:eastAsia="Times New Roman" w:hAnsi="Times New Roman" w:cs="Times New Roman"/>
          <w:i/>
          <w:iCs/>
          <w:sz w:val="24"/>
          <w:szCs w:val="24"/>
          <w:lang w:val="en-GB" w:eastAsia="en-GB"/>
        </w:rPr>
        <w:t>Psychiatry</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33</w:t>
      </w:r>
      <w:r w:rsidRPr="00525959">
        <w:rPr>
          <w:rFonts w:ascii="Times New Roman" w:eastAsia="Times New Roman" w:hAnsi="Times New Roman" w:cs="Times New Roman"/>
          <w:sz w:val="24"/>
          <w:szCs w:val="24"/>
          <w:lang w:val="en-GB" w:eastAsia="en-GB"/>
        </w:rPr>
        <w:t xml:space="preserve">(5), e100275. </w:t>
      </w:r>
      <w:hyperlink r:id="rId9" w:history="1">
        <w:r w:rsidRPr="00525959">
          <w:rPr>
            <w:rStyle w:val="Hyperlink"/>
            <w:rFonts w:ascii="Times New Roman" w:eastAsia="Times New Roman" w:hAnsi="Times New Roman" w:cs="Times New Roman"/>
            <w:sz w:val="24"/>
            <w:szCs w:val="24"/>
            <w:lang w:val="en-GB" w:eastAsia="en-GB"/>
          </w:rPr>
          <w:t>https://doi.org/10.1136/gpsych-2020-100275</w:t>
        </w:r>
      </w:hyperlink>
      <w:r>
        <w:rPr>
          <w:rFonts w:ascii="Times New Roman" w:eastAsia="Times New Roman" w:hAnsi="Times New Roman" w:cs="Times New Roman"/>
          <w:sz w:val="24"/>
          <w:szCs w:val="24"/>
          <w:lang w:val="en-GB" w:eastAsia="en-GB"/>
        </w:rPr>
        <w:t xml:space="preserve"> </w:t>
      </w:r>
    </w:p>
    <w:p w14:paraId="13B3087F" w14:textId="77777777" w:rsidR="00525959" w:rsidRDefault="00525959" w:rsidP="00525959">
      <w:pPr>
        <w:ind w:left="720" w:hanging="720"/>
        <w:rPr>
          <w:rFonts w:ascii="Times New Roman" w:eastAsia="Times New Roman" w:hAnsi="Times New Roman" w:cs="Times New Roman"/>
          <w:sz w:val="24"/>
          <w:szCs w:val="24"/>
          <w:lang w:val="en-GB" w:eastAsia="en-GB"/>
        </w:rPr>
      </w:pPr>
      <w:proofErr w:type="spellStart"/>
      <w:r w:rsidRPr="00525959">
        <w:rPr>
          <w:rFonts w:ascii="Times New Roman" w:eastAsia="Times New Roman" w:hAnsi="Times New Roman" w:cs="Times New Roman"/>
          <w:sz w:val="24"/>
          <w:szCs w:val="24"/>
          <w:lang w:val="en-GB" w:eastAsia="en-GB"/>
        </w:rPr>
        <w:t>Ranabhat</w:t>
      </w:r>
      <w:proofErr w:type="spellEnd"/>
      <w:r w:rsidRPr="00525959">
        <w:rPr>
          <w:rFonts w:ascii="Times New Roman" w:eastAsia="Times New Roman" w:hAnsi="Times New Roman" w:cs="Times New Roman"/>
          <w:sz w:val="24"/>
          <w:szCs w:val="24"/>
          <w:lang w:val="en-GB" w:eastAsia="en-GB"/>
        </w:rPr>
        <w:t xml:space="preserve">, C. L., Acharya, S. P., Adhikari, C., &amp; Kim, C. B. (2023). Universal health coverage evolution, ongoing trend, and future challenge: A conceptual and historical policy review. </w:t>
      </w:r>
      <w:r w:rsidRPr="00525959">
        <w:rPr>
          <w:rFonts w:ascii="Times New Roman" w:eastAsia="Times New Roman" w:hAnsi="Times New Roman" w:cs="Times New Roman"/>
          <w:i/>
          <w:iCs/>
          <w:sz w:val="24"/>
          <w:szCs w:val="24"/>
          <w:lang w:val="en-GB" w:eastAsia="en-GB"/>
        </w:rPr>
        <w:t xml:space="preserve">Frontiers in </w:t>
      </w:r>
      <w:r w:rsidRPr="00525959">
        <w:rPr>
          <w:rFonts w:ascii="Times New Roman" w:eastAsia="Times New Roman" w:hAnsi="Times New Roman" w:cs="Times New Roman"/>
          <w:i/>
          <w:iCs/>
          <w:sz w:val="24"/>
          <w:szCs w:val="24"/>
          <w:lang w:val="en-GB" w:eastAsia="en-GB"/>
        </w:rPr>
        <w:t>Public Health</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11</w:t>
      </w:r>
      <w:r w:rsidRPr="00525959">
        <w:rPr>
          <w:rFonts w:ascii="Times New Roman" w:eastAsia="Times New Roman" w:hAnsi="Times New Roman" w:cs="Times New Roman"/>
          <w:sz w:val="24"/>
          <w:szCs w:val="24"/>
          <w:lang w:val="en-GB" w:eastAsia="en-GB"/>
        </w:rPr>
        <w:t xml:space="preserve">, 1041459. </w:t>
      </w:r>
      <w:hyperlink r:id="rId10" w:history="1">
        <w:r w:rsidRPr="00525959">
          <w:rPr>
            <w:rStyle w:val="Hyperlink"/>
            <w:rFonts w:ascii="Times New Roman" w:eastAsia="Times New Roman" w:hAnsi="Times New Roman" w:cs="Times New Roman"/>
            <w:sz w:val="24"/>
            <w:szCs w:val="24"/>
            <w:lang w:val="en-GB" w:eastAsia="en-GB"/>
          </w:rPr>
          <w:t>https://doi.org/10.3389/fpubh.2023.1041459</w:t>
        </w:r>
      </w:hyperlink>
      <w:r>
        <w:rPr>
          <w:rFonts w:ascii="Times New Roman" w:eastAsia="Times New Roman" w:hAnsi="Times New Roman" w:cs="Times New Roman"/>
          <w:sz w:val="24"/>
          <w:szCs w:val="24"/>
          <w:lang w:val="en-GB" w:eastAsia="en-GB"/>
        </w:rPr>
        <w:t xml:space="preserve"> </w:t>
      </w:r>
    </w:p>
    <w:p w14:paraId="56599A9F" w14:textId="77777777" w:rsidR="00525959" w:rsidRDefault="00525959" w:rsidP="00537DFA">
      <w:pPr>
        <w:ind w:left="720" w:hanging="720"/>
        <w:rPr>
          <w:rFonts w:ascii="Times New Roman" w:eastAsia="Times New Roman" w:hAnsi="Times New Roman" w:cs="Times New Roman"/>
          <w:sz w:val="24"/>
          <w:szCs w:val="24"/>
          <w:lang w:val="en-GB" w:eastAsia="en-GB"/>
        </w:rPr>
      </w:pPr>
      <w:proofErr w:type="spellStart"/>
      <w:r w:rsidRPr="00537DFA">
        <w:rPr>
          <w:rFonts w:ascii="Times New Roman" w:eastAsia="Times New Roman" w:hAnsi="Times New Roman" w:cs="Times New Roman"/>
          <w:sz w:val="24"/>
          <w:szCs w:val="24"/>
          <w:lang w:val="en-GB" w:eastAsia="en-GB"/>
        </w:rPr>
        <w:t>Wyant</w:t>
      </w:r>
      <w:proofErr w:type="spellEnd"/>
      <w:r w:rsidRPr="00537DFA">
        <w:rPr>
          <w:rFonts w:ascii="Times New Roman" w:eastAsia="Times New Roman" w:hAnsi="Times New Roman" w:cs="Times New Roman"/>
          <w:sz w:val="24"/>
          <w:szCs w:val="24"/>
          <w:lang w:val="en-GB" w:eastAsia="en-GB"/>
        </w:rPr>
        <w:t xml:space="preserve"> B. E. (2020). Access to Outpatient Psychiatric Care: One Patient's Story and a Call to Action. </w:t>
      </w:r>
      <w:r w:rsidRPr="00537DFA">
        <w:rPr>
          <w:rFonts w:ascii="Times New Roman" w:eastAsia="Times New Roman" w:hAnsi="Times New Roman" w:cs="Times New Roman"/>
          <w:i/>
          <w:iCs/>
          <w:sz w:val="24"/>
          <w:szCs w:val="24"/>
          <w:lang w:val="en-GB" w:eastAsia="en-GB"/>
        </w:rPr>
        <w:t>Journal of</w:t>
      </w:r>
      <w:r w:rsidRPr="00537DFA">
        <w:rPr>
          <w:rFonts w:ascii="Times New Roman" w:eastAsia="Times New Roman" w:hAnsi="Times New Roman" w:cs="Times New Roman"/>
          <w:i/>
          <w:iCs/>
          <w:sz w:val="24"/>
          <w:szCs w:val="24"/>
          <w:lang w:val="en-GB" w:eastAsia="en-GB"/>
        </w:rPr>
        <w:t xml:space="preserve"> Patient Experience</w:t>
      </w:r>
      <w:r w:rsidRPr="00537DFA">
        <w:rPr>
          <w:rFonts w:ascii="Times New Roman" w:eastAsia="Times New Roman" w:hAnsi="Times New Roman" w:cs="Times New Roman"/>
          <w:sz w:val="24"/>
          <w:szCs w:val="24"/>
          <w:lang w:val="en-GB" w:eastAsia="en-GB"/>
        </w:rPr>
        <w:t xml:space="preserve">, </w:t>
      </w:r>
      <w:r w:rsidRPr="00537DFA">
        <w:rPr>
          <w:rFonts w:ascii="Times New Roman" w:eastAsia="Times New Roman" w:hAnsi="Times New Roman" w:cs="Times New Roman"/>
          <w:i/>
          <w:iCs/>
          <w:sz w:val="24"/>
          <w:szCs w:val="24"/>
          <w:lang w:val="en-GB" w:eastAsia="en-GB"/>
        </w:rPr>
        <w:t>7</w:t>
      </w:r>
      <w:r w:rsidRPr="00537DFA">
        <w:rPr>
          <w:rFonts w:ascii="Times New Roman" w:eastAsia="Times New Roman" w:hAnsi="Times New Roman" w:cs="Times New Roman"/>
          <w:sz w:val="24"/>
          <w:szCs w:val="24"/>
          <w:lang w:val="en-GB" w:eastAsia="en-GB"/>
        </w:rPr>
        <w:t xml:space="preserve">(6), 820–823. </w:t>
      </w:r>
      <w:hyperlink r:id="rId11" w:history="1">
        <w:r w:rsidRPr="00537DFA">
          <w:rPr>
            <w:rStyle w:val="Hyperlink"/>
            <w:rFonts w:ascii="Times New Roman" w:eastAsia="Times New Roman" w:hAnsi="Times New Roman" w:cs="Times New Roman"/>
            <w:sz w:val="24"/>
            <w:szCs w:val="24"/>
            <w:lang w:val="en-GB" w:eastAsia="en-GB"/>
          </w:rPr>
          <w:t>https://doi.org/10.1177/2374373520925266</w:t>
        </w:r>
      </w:hyperlink>
      <w:r>
        <w:rPr>
          <w:rFonts w:ascii="Times New Roman" w:eastAsia="Times New Roman" w:hAnsi="Times New Roman" w:cs="Times New Roman"/>
          <w:sz w:val="24"/>
          <w:szCs w:val="24"/>
          <w:lang w:val="en-GB" w:eastAsia="en-GB"/>
        </w:rPr>
        <w:t xml:space="preserve"> </w:t>
      </w:r>
    </w:p>
    <w:p w14:paraId="468D9F3A" w14:textId="77777777" w:rsidR="00525959" w:rsidRDefault="00525959" w:rsidP="00525959">
      <w:pPr>
        <w:ind w:left="720" w:hanging="720"/>
        <w:rPr>
          <w:rFonts w:ascii="Times New Roman" w:eastAsia="Times New Roman" w:hAnsi="Times New Roman" w:cs="Times New Roman"/>
          <w:sz w:val="24"/>
          <w:szCs w:val="24"/>
          <w:lang w:val="en-GB" w:eastAsia="en-GB"/>
        </w:rPr>
      </w:pPr>
      <w:r w:rsidRPr="00525959">
        <w:rPr>
          <w:rFonts w:ascii="Times New Roman" w:eastAsia="Times New Roman" w:hAnsi="Times New Roman" w:cs="Times New Roman"/>
          <w:sz w:val="24"/>
          <w:szCs w:val="24"/>
          <w:lang w:val="en-GB" w:eastAsia="en-GB"/>
        </w:rPr>
        <w:t xml:space="preserve">Yang, J., Landrum, M. B., Zhou, L., &amp; Busch, A. B. (2020). Disparities in outpatient visits for mental health and/or substance use disorders during the COVID surge and partial reopening in Massachusetts. </w:t>
      </w:r>
      <w:r w:rsidRPr="00525959">
        <w:rPr>
          <w:rFonts w:ascii="Times New Roman" w:eastAsia="Times New Roman" w:hAnsi="Times New Roman" w:cs="Times New Roman"/>
          <w:i/>
          <w:iCs/>
          <w:sz w:val="24"/>
          <w:szCs w:val="24"/>
          <w:lang w:val="en-GB" w:eastAsia="en-GB"/>
        </w:rPr>
        <w:t xml:space="preserve">General </w:t>
      </w:r>
      <w:r w:rsidRPr="00525959">
        <w:rPr>
          <w:rFonts w:ascii="Times New Roman" w:eastAsia="Times New Roman" w:hAnsi="Times New Roman" w:cs="Times New Roman"/>
          <w:i/>
          <w:iCs/>
          <w:sz w:val="24"/>
          <w:szCs w:val="24"/>
          <w:lang w:val="en-GB" w:eastAsia="en-GB"/>
        </w:rPr>
        <w:t>Hospital Psychiatry</w:t>
      </w:r>
      <w:r w:rsidRPr="00525959">
        <w:rPr>
          <w:rFonts w:ascii="Times New Roman" w:eastAsia="Times New Roman" w:hAnsi="Times New Roman" w:cs="Times New Roman"/>
          <w:sz w:val="24"/>
          <w:szCs w:val="24"/>
          <w:lang w:val="en-GB" w:eastAsia="en-GB"/>
        </w:rPr>
        <w:t xml:space="preserve">, </w:t>
      </w:r>
      <w:r w:rsidRPr="00525959">
        <w:rPr>
          <w:rFonts w:ascii="Times New Roman" w:eastAsia="Times New Roman" w:hAnsi="Times New Roman" w:cs="Times New Roman"/>
          <w:i/>
          <w:iCs/>
          <w:sz w:val="24"/>
          <w:szCs w:val="24"/>
          <w:lang w:val="en-GB" w:eastAsia="en-GB"/>
        </w:rPr>
        <w:t>67</w:t>
      </w:r>
      <w:r w:rsidRPr="00525959">
        <w:rPr>
          <w:rFonts w:ascii="Times New Roman" w:eastAsia="Times New Roman" w:hAnsi="Times New Roman" w:cs="Times New Roman"/>
          <w:sz w:val="24"/>
          <w:szCs w:val="24"/>
          <w:lang w:val="en-GB" w:eastAsia="en-GB"/>
        </w:rPr>
        <w:t xml:space="preserve">, 100–106. </w:t>
      </w:r>
      <w:hyperlink r:id="rId12" w:history="1">
        <w:r w:rsidRPr="00525959">
          <w:rPr>
            <w:rStyle w:val="Hyperlink"/>
            <w:rFonts w:ascii="Times New Roman" w:eastAsia="Times New Roman" w:hAnsi="Times New Roman" w:cs="Times New Roman"/>
            <w:sz w:val="24"/>
            <w:szCs w:val="24"/>
            <w:lang w:val="en-GB" w:eastAsia="en-GB"/>
          </w:rPr>
          <w:t>https://doi.org/10.1016/j.genhosppsych.2020.09.004</w:t>
        </w:r>
      </w:hyperlink>
      <w:r>
        <w:rPr>
          <w:rFonts w:ascii="Times New Roman" w:eastAsia="Times New Roman" w:hAnsi="Times New Roman" w:cs="Times New Roman"/>
          <w:sz w:val="24"/>
          <w:szCs w:val="24"/>
          <w:lang w:val="en-GB" w:eastAsia="en-GB"/>
        </w:rPr>
        <w:t xml:space="preserve"> </w:t>
      </w:r>
    </w:p>
    <w:sectPr w:rsidR="00525959" w:rsidSect="00616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02"/>
    <w:rsid w:val="0016043E"/>
    <w:rsid w:val="0017175D"/>
    <w:rsid w:val="00274E6E"/>
    <w:rsid w:val="00332F3C"/>
    <w:rsid w:val="00361B54"/>
    <w:rsid w:val="003E3C1A"/>
    <w:rsid w:val="00412D03"/>
    <w:rsid w:val="005014E3"/>
    <w:rsid w:val="00513A02"/>
    <w:rsid w:val="00525959"/>
    <w:rsid w:val="00537DFA"/>
    <w:rsid w:val="00540DB7"/>
    <w:rsid w:val="00616B70"/>
    <w:rsid w:val="00645024"/>
    <w:rsid w:val="00664212"/>
    <w:rsid w:val="00797BBC"/>
    <w:rsid w:val="008C3ECC"/>
    <w:rsid w:val="008F154C"/>
    <w:rsid w:val="00A601D4"/>
    <w:rsid w:val="00BD74D3"/>
    <w:rsid w:val="00C00E4A"/>
    <w:rsid w:val="00C94634"/>
    <w:rsid w:val="00D54E12"/>
    <w:rsid w:val="00E10E01"/>
    <w:rsid w:val="00E27657"/>
    <w:rsid w:val="00E7334D"/>
    <w:rsid w:val="00E758B4"/>
    <w:rsid w:val="00E94642"/>
    <w:rsid w:val="00EE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C6CA"/>
  <w15:docId w15:val="{99F2F509-EE1F-4580-BB33-299F4B14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D03"/>
    <w:rPr>
      <w:color w:val="0000FF" w:themeColor="hyperlink"/>
      <w:u w:val="single"/>
    </w:rPr>
  </w:style>
  <w:style w:type="character" w:styleId="UnresolvedMention">
    <w:name w:val="Unresolved Mention"/>
    <w:basedOn w:val="DefaultParagraphFont"/>
    <w:uiPriority w:val="99"/>
    <w:semiHidden/>
    <w:unhideWhenUsed/>
    <w:rsid w:val="00EE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7070">
      <w:bodyDiv w:val="1"/>
      <w:marLeft w:val="0"/>
      <w:marRight w:val="0"/>
      <w:marTop w:val="0"/>
      <w:marBottom w:val="0"/>
      <w:divBdr>
        <w:top w:val="none" w:sz="0" w:space="0" w:color="auto"/>
        <w:left w:val="none" w:sz="0" w:space="0" w:color="auto"/>
        <w:bottom w:val="none" w:sz="0" w:space="0" w:color="auto"/>
        <w:right w:val="none" w:sz="0" w:space="0" w:color="auto"/>
      </w:divBdr>
      <w:divsChild>
        <w:div w:id="1975988044">
          <w:marLeft w:val="0"/>
          <w:marRight w:val="0"/>
          <w:marTop w:val="0"/>
          <w:marBottom w:val="0"/>
          <w:divBdr>
            <w:top w:val="none" w:sz="0" w:space="0" w:color="auto"/>
            <w:left w:val="none" w:sz="0" w:space="0" w:color="auto"/>
            <w:bottom w:val="none" w:sz="0" w:space="0" w:color="auto"/>
            <w:right w:val="none" w:sz="0" w:space="0" w:color="auto"/>
          </w:divBdr>
        </w:div>
      </w:divsChild>
    </w:div>
    <w:div w:id="685407142">
      <w:bodyDiv w:val="1"/>
      <w:marLeft w:val="0"/>
      <w:marRight w:val="0"/>
      <w:marTop w:val="0"/>
      <w:marBottom w:val="0"/>
      <w:divBdr>
        <w:top w:val="none" w:sz="0" w:space="0" w:color="auto"/>
        <w:left w:val="none" w:sz="0" w:space="0" w:color="auto"/>
        <w:bottom w:val="none" w:sz="0" w:space="0" w:color="auto"/>
        <w:right w:val="none" w:sz="0" w:space="0" w:color="auto"/>
      </w:divBdr>
      <w:divsChild>
        <w:div w:id="962928636">
          <w:marLeft w:val="0"/>
          <w:marRight w:val="0"/>
          <w:marTop w:val="0"/>
          <w:marBottom w:val="0"/>
          <w:divBdr>
            <w:top w:val="none" w:sz="0" w:space="0" w:color="auto"/>
            <w:left w:val="none" w:sz="0" w:space="0" w:color="auto"/>
            <w:bottom w:val="none" w:sz="0" w:space="0" w:color="auto"/>
            <w:right w:val="none" w:sz="0" w:space="0" w:color="auto"/>
          </w:divBdr>
        </w:div>
      </w:divsChild>
    </w:div>
    <w:div w:id="793670203">
      <w:bodyDiv w:val="1"/>
      <w:marLeft w:val="0"/>
      <w:marRight w:val="0"/>
      <w:marTop w:val="0"/>
      <w:marBottom w:val="0"/>
      <w:divBdr>
        <w:top w:val="none" w:sz="0" w:space="0" w:color="auto"/>
        <w:left w:val="none" w:sz="0" w:space="0" w:color="auto"/>
        <w:bottom w:val="none" w:sz="0" w:space="0" w:color="auto"/>
        <w:right w:val="none" w:sz="0" w:space="0" w:color="auto"/>
      </w:divBdr>
      <w:divsChild>
        <w:div w:id="1132140240">
          <w:marLeft w:val="0"/>
          <w:marRight w:val="0"/>
          <w:marTop w:val="0"/>
          <w:marBottom w:val="0"/>
          <w:divBdr>
            <w:top w:val="none" w:sz="0" w:space="0" w:color="auto"/>
            <w:left w:val="none" w:sz="0" w:space="0" w:color="auto"/>
            <w:bottom w:val="none" w:sz="0" w:space="0" w:color="auto"/>
            <w:right w:val="none" w:sz="0" w:space="0" w:color="auto"/>
          </w:divBdr>
        </w:div>
      </w:divsChild>
    </w:div>
    <w:div w:id="847329648">
      <w:bodyDiv w:val="1"/>
      <w:marLeft w:val="0"/>
      <w:marRight w:val="0"/>
      <w:marTop w:val="0"/>
      <w:marBottom w:val="0"/>
      <w:divBdr>
        <w:top w:val="none" w:sz="0" w:space="0" w:color="auto"/>
        <w:left w:val="none" w:sz="0" w:space="0" w:color="auto"/>
        <w:bottom w:val="none" w:sz="0" w:space="0" w:color="auto"/>
        <w:right w:val="none" w:sz="0" w:space="0" w:color="auto"/>
      </w:divBdr>
      <w:divsChild>
        <w:div w:id="1252665538">
          <w:marLeft w:val="0"/>
          <w:marRight w:val="0"/>
          <w:marTop w:val="0"/>
          <w:marBottom w:val="0"/>
          <w:divBdr>
            <w:top w:val="none" w:sz="0" w:space="0" w:color="auto"/>
            <w:left w:val="none" w:sz="0" w:space="0" w:color="auto"/>
            <w:bottom w:val="none" w:sz="0" w:space="0" w:color="auto"/>
            <w:right w:val="none" w:sz="0" w:space="0" w:color="auto"/>
          </w:divBdr>
        </w:div>
      </w:divsChild>
    </w:div>
    <w:div w:id="1165516178">
      <w:bodyDiv w:val="1"/>
      <w:marLeft w:val="0"/>
      <w:marRight w:val="0"/>
      <w:marTop w:val="0"/>
      <w:marBottom w:val="0"/>
      <w:divBdr>
        <w:top w:val="none" w:sz="0" w:space="0" w:color="auto"/>
        <w:left w:val="none" w:sz="0" w:space="0" w:color="auto"/>
        <w:bottom w:val="none" w:sz="0" w:space="0" w:color="auto"/>
        <w:right w:val="none" w:sz="0" w:space="0" w:color="auto"/>
      </w:divBdr>
      <w:divsChild>
        <w:div w:id="923303813">
          <w:marLeft w:val="0"/>
          <w:marRight w:val="0"/>
          <w:marTop w:val="0"/>
          <w:marBottom w:val="0"/>
          <w:divBdr>
            <w:top w:val="none" w:sz="0" w:space="0" w:color="auto"/>
            <w:left w:val="none" w:sz="0" w:space="0" w:color="auto"/>
            <w:bottom w:val="none" w:sz="0" w:space="0" w:color="auto"/>
            <w:right w:val="none" w:sz="0" w:space="0" w:color="auto"/>
          </w:divBdr>
        </w:div>
      </w:divsChild>
    </w:div>
    <w:div w:id="1246649809">
      <w:bodyDiv w:val="1"/>
      <w:marLeft w:val="0"/>
      <w:marRight w:val="0"/>
      <w:marTop w:val="0"/>
      <w:marBottom w:val="0"/>
      <w:divBdr>
        <w:top w:val="none" w:sz="0" w:space="0" w:color="auto"/>
        <w:left w:val="none" w:sz="0" w:space="0" w:color="auto"/>
        <w:bottom w:val="none" w:sz="0" w:space="0" w:color="auto"/>
        <w:right w:val="none" w:sz="0" w:space="0" w:color="auto"/>
      </w:divBdr>
      <w:divsChild>
        <w:div w:id="1302883247">
          <w:marLeft w:val="0"/>
          <w:marRight w:val="0"/>
          <w:marTop w:val="0"/>
          <w:marBottom w:val="0"/>
          <w:divBdr>
            <w:top w:val="none" w:sz="0" w:space="0" w:color="auto"/>
            <w:left w:val="none" w:sz="0" w:space="0" w:color="auto"/>
            <w:bottom w:val="none" w:sz="0" w:space="0" w:color="auto"/>
            <w:right w:val="none" w:sz="0" w:space="0" w:color="auto"/>
          </w:divBdr>
        </w:div>
      </w:divsChild>
    </w:div>
    <w:div w:id="1818958313">
      <w:bodyDiv w:val="1"/>
      <w:marLeft w:val="0"/>
      <w:marRight w:val="0"/>
      <w:marTop w:val="0"/>
      <w:marBottom w:val="0"/>
      <w:divBdr>
        <w:top w:val="none" w:sz="0" w:space="0" w:color="auto"/>
        <w:left w:val="none" w:sz="0" w:space="0" w:color="auto"/>
        <w:bottom w:val="none" w:sz="0" w:space="0" w:color="auto"/>
        <w:right w:val="none" w:sz="0" w:space="0" w:color="auto"/>
      </w:divBdr>
      <w:divsChild>
        <w:div w:id="706445274">
          <w:marLeft w:val="0"/>
          <w:marRight w:val="0"/>
          <w:marTop w:val="0"/>
          <w:marBottom w:val="0"/>
          <w:divBdr>
            <w:top w:val="none" w:sz="0" w:space="0" w:color="auto"/>
            <w:left w:val="none" w:sz="0" w:space="0" w:color="auto"/>
            <w:bottom w:val="none" w:sz="0" w:space="0" w:color="auto"/>
            <w:right w:val="none" w:sz="0" w:space="0" w:color="auto"/>
          </w:divBdr>
        </w:div>
      </w:divsChild>
    </w:div>
    <w:div w:id="1898054591">
      <w:bodyDiv w:val="1"/>
      <w:marLeft w:val="0"/>
      <w:marRight w:val="0"/>
      <w:marTop w:val="0"/>
      <w:marBottom w:val="0"/>
      <w:divBdr>
        <w:top w:val="none" w:sz="0" w:space="0" w:color="auto"/>
        <w:left w:val="none" w:sz="0" w:space="0" w:color="auto"/>
        <w:bottom w:val="none" w:sz="0" w:space="0" w:color="auto"/>
        <w:right w:val="none" w:sz="0" w:space="0" w:color="auto"/>
      </w:divBdr>
      <w:divsChild>
        <w:div w:id="1413775302">
          <w:marLeft w:val="0"/>
          <w:marRight w:val="0"/>
          <w:marTop w:val="0"/>
          <w:marBottom w:val="0"/>
          <w:divBdr>
            <w:top w:val="none" w:sz="0" w:space="0" w:color="auto"/>
            <w:left w:val="none" w:sz="0" w:space="0" w:color="auto"/>
            <w:bottom w:val="none" w:sz="0" w:space="0" w:color="auto"/>
            <w:right w:val="none" w:sz="0" w:space="0" w:color="auto"/>
          </w:divBdr>
        </w:div>
      </w:divsChild>
    </w:div>
    <w:div w:id="1937443369">
      <w:bodyDiv w:val="1"/>
      <w:marLeft w:val="0"/>
      <w:marRight w:val="0"/>
      <w:marTop w:val="0"/>
      <w:marBottom w:val="0"/>
      <w:divBdr>
        <w:top w:val="none" w:sz="0" w:space="0" w:color="auto"/>
        <w:left w:val="none" w:sz="0" w:space="0" w:color="auto"/>
        <w:bottom w:val="none" w:sz="0" w:space="0" w:color="auto"/>
        <w:right w:val="none" w:sz="0" w:space="0" w:color="auto"/>
      </w:divBdr>
      <w:divsChild>
        <w:div w:id="105546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1-0070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jagp.2022.07.001" TargetMode="External"/><Relationship Id="rId12" Type="http://schemas.openxmlformats.org/officeDocument/2006/relationships/hyperlink" Target="https://doi.org/10.1016/j.genhosppsych.2020.09.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MLR.0000000000001078" TargetMode="External"/><Relationship Id="rId11" Type="http://schemas.openxmlformats.org/officeDocument/2006/relationships/hyperlink" Target="https://doi.org/10.1177/2374373520925266" TargetMode="External"/><Relationship Id="rId5" Type="http://schemas.openxmlformats.org/officeDocument/2006/relationships/hyperlink" Target="https://doi.org/10.1186/s12913-022-08106-y" TargetMode="External"/><Relationship Id="rId10" Type="http://schemas.openxmlformats.org/officeDocument/2006/relationships/hyperlink" Target="https://doi.org/10.3389/fpubh.2023.1041459" TargetMode="External"/><Relationship Id="rId4" Type="http://schemas.openxmlformats.org/officeDocument/2006/relationships/hyperlink" Target="https://doi.org/10.1017/S2045796020001092" TargetMode="External"/><Relationship Id="rId9" Type="http://schemas.openxmlformats.org/officeDocument/2006/relationships/hyperlink" Target="https://doi.org/10.1136/gpsych-2020-1002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3</cp:revision>
  <dcterms:created xsi:type="dcterms:W3CDTF">2024-02-14T06:25:00Z</dcterms:created>
  <dcterms:modified xsi:type="dcterms:W3CDTF">2024-02-14T06:31:00Z</dcterms:modified>
</cp:coreProperties>
</file>