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r w:rsidRPr="00920D12">
        <w:rPr>
          <w:rFonts w:ascii="Times New Roman" w:hAnsi="Times New Roman" w:cs="Times New Roman"/>
          <w:b/>
          <w:sz w:val="24"/>
          <w:szCs w:val="24"/>
        </w:rPr>
        <w:t>Week 6 Assignment</w:t>
      </w:r>
    </w:p>
    <w:p w:rsidR="0014633C" w:rsidRPr="00920D12" w:rsidRDefault="0014633C" w:rsidP="00920D12">
      <w:pPr>
        <w:spacing w:after="0" w:line="480" w:lineRule="auto"/>
        <w:jc w:val="center"/>
        <w:rPr>
          <w:rFonts w:ascii="Times New Roman" w:hAnsi="Times New Roman" w:cs="Times New Roman"/>
          <w:sz w:val="24"/>
          <w:szCs w:val="24"/>
        </w:rPr>
      </w:pPr>
    </w:p>
    <w:p w:rsidR="0014633C" w:rsidRPr="00920D12" w:rsidRDefault="0014633C" w:rsidP="00920D12">
      <w:pPr>
        <w:spacing w:after="0" w:line="480" w:lineRule="auto"/>
        <w:jc w:val="center"/>
        <w:rPr>
          <w:rFonts w:ascii="Times New Roman" w:hAnsi="Times New Roman" w:cs="Times New Roman"/>
          <w:sz w:val="24"/>
          <w:szCs w:val="24"/>
        </w:rPr>
      </w:pPr>
      <w:r w:rsidRPr="00920D12">
        <w:rPr>
          <w:rFonts w:ascii="Times New Roman" w:hAnsi="Times New Roman" w:cs="Times New Roman"/>
          <w:sz w:val="24"/>
          <w:szCs w:val="24"/>
        </w:rPr>
        <w:t>Name</w:t>
      </w:r>
    </w:p>
    <w:p w:rsidR="0014633C" w:rsidRPr="00920D12" w:rsidRDefault="0014633C" w:rsidP="00920D12">
      <w:pPr>
        <w:spacing w:after="0" w:line="480" w:lineRule="auto"/>
        <w:jc w:val="center"/>
        <w:rPr>
          <w:rFonts w:ascii="Times New Roman" w:hAnsi="Times New Roman" w:cs="Times New Roman"/>
          <w:sz w:val="24"/>
          <w:szCs w:val="24"/>
        </w:rPr>
      </w:pPr>
      <w:r w:rsidRPr="00920D12">
        <w:rPr>
          <w:rFonts w:ascii="Times New Roman" w:hAnsi="Times New Roman" w:cs="Times New Roman"/>
          <w:sz w:val="24"/>
          <w:szCs w:val="24"/>
        </w:rPr>
        <w:t>Course Title</w:t>
      </w:r>
    </w:p>
    <w:p w:rsidR="0014633C" w:rsidRPr="00920D12" w:rsidRDefault="0014633C" w:rsidP="00920D12">
      <w:pPr>
        <w:spacing w:after="0" w:line="480" w:lineRule="auto"/>
        <w:jc w:val="center"/>
        <w:rPr>
          <w:rFonts w:ascii="Times New Roman" w:hAnsi="Times New Roman" w:cs="Times New Roman"/>
          <w:sz w:val="24"/>
          <w:szCs w:val="24"/>
        </w:rPr>
      </w:pPr>
      <w:r w:rsidRPr="00920D12">
        <w:rPr>
          <w:rFonts w:ascii="Times New Roman" w:hAnsi="Times New Roman" w:cs="Times New Roman"/>
          <w:sz w:val="24"/>
          <w:szCs w:val="24"/>
        </w:rPr>
        <w:t>Program, University</w:t>
      </w:r>
    </w:p>
    <w:p w:rsidR="0014633C" w:rsidRPr="00920D12" w:rsidRDefault="0014633C" w:rsidP="00920D12">
      <w:pPr>
        <w:spacing w:after="0" w:line="480" w:lineRule="auto"/>
        <w:jc w:val="center"/>
        <w:rPr>
          <w:rFonts w:ascii="Times New Roman" w:hAnsi="Times New Roman" w:cs="Times New Roman"/>
          <w:sz w:val="24"/>
          <w:szCs w:val="24"/>
        </w:rPr>
      </w:pPr>
      <w:r w:rsidRPr="00920D12">
        <w:rPr>
          <w:rFonts w:ascii="Times New Roman" w:hAnsi="Times New Roman" w:cs="Times New Roman"/>
          <w:sz w:val="24"/>
          <w:szCs w:val="24"/>
        </w:rPr>
        <w:t>Instructor</w:t>
      </w:r>
    </w:p>
    <w:p w:rsidR="0014633C" w:rsidRPr="00920D12" w:rsidRDefault="0014633C" w:rsidP="00920D12">
      <w:pPr>
        <w:spacing w:after="0" w:line="480" w:lineRule="auto"/>
        <w:jc w:val="center"/>
        <w:rPr>
          <w:rFonts w:ascii="Times New Roman" w:hAnsi="Times New Roman" w:cs="Times New Roman"/>
          <w:sz w:val="24"/>
          <w:szCs w:val="24"/>
        </w:rPr>
      </w:pPr>
      <w:r w:rsidRPr="00920D12">
        <w:rPr>
          <w:rFonts w:ascii="Times New Roman" w:hAnsi="Times New Roman" w:cs="Times New Roman"/>
          <w:sz w:val="24"/>
          <w:szCs w:val="24"/>
        </w:rPr>
        <w:t>Date</w:t>
      </w:r>
    </w:p>
    <w:p w:rsidR="0014633C" w:rsidRPr="00920D12" w:rsidRDefault="0014633C" w:rsidP="00920D12">
      <w:pPr>
        <w:spacing w:line="480" w:lineRule="auto"/>
        <w:rPr>
          <w:rFonts w:ascii="Times New Roman" w:hAnsi="Times New Roman" w:cs="Times New Roman"/>
          <w:sz w:val="24"/>
          <w:szCs w:val="24"/>
        </w:rPr>
      </w:pPr>
    </w:p>
    <w:p w:rsidR="0014633C" w:rsidRPr="00920D12" w:rsidRDefault="0014633C" w:rsidP="00920D12">
      <w:pPr>
        <w:spacing w:line="480" w:lineRule="auto"/>
        <w:jc w:val="center"/>
        <w:rPr>
          <w:rFonts w:ascii="Times New Roman" w:hAnsi="Times New Roman" w:cs="Times New Roman"/>
          <w:b/>
          <w:sz w:val="24"/>
          <w:szCs w:val="24"/>
        </w:rPr>
      </w:pPr>
    </w:p>
    <w:p w:rsidR="0014633C" w:rsidRPr="00920D12" w:rsidRDefault="0014633C" w:rsidP="00920D12">
      <w:pPr>
        <w:spacing w:line="480" w:lineRule="auto"/>
        <w:jc w:val="center"/>
        <w:rPr>
          <w:rFonts w:ascii="Times New Roman" w:hAnsi="Times New Roman" w:cs="Times New Roman"/>
          <w:b/>
          <w:sz w:val="24"/>
          <w:szCs w:val="24"/>
        </w:rPr>
      </w:pPr>
    </w:p>
    <w:p w:rsidR="0014633C" w:rsidRPr="00920D12" w:rsidRDefault="0014633C" w:rsidP="00920D12">
      <w:pPr>
        <w:spacing w:line="480" w:lineRule="auto"/>
        <w:jc w:val="center"/>
        <w:rPr>
          <w:rFonts w:ascii="Times New Roman" w:hAnsi="Times New Roman" w:cs="Times New Roman"/>
          <w:b/>
          <w:sz w:val="24"/>
          <w:szCs w:val="24"/>
        </w:rPr>
      </w:pPr>
    </w:p>
    <w:p w:rsidR="0014633C" w:rsidRPr="00920D12" w:rsidRDefault="0014633C" w:rsidP="00920D12">
      <w:pPr>
        <w:spacing w:line="480" w:lineRule="auto"/>
        <w:jc w:val="center"/>
        <w:rPr>
          <w:rFonts w:ascii="Times New Roman" w:hAnsi="Times New Roman" w:cs="Times New Roman"/>
          <w:b/>
          <w:sz w:val="24"/>
          <w:szCs w:val="24"/>
        </w:rPr>
      </w:pPr>
    </w:p>
    <w:p w:rsidR="0014633C" w:rsidRPr="00920D12" w:rsidRDefault="0014633C" w:rsidP="00920D12">
      <w:pPr>
        <w:spacing w:line="480" w:lineRule="auto"/>
        <w:jc w:val="center"/>
        <w:rPr>
          <w:rFonts w:ascii="Times New Roman" w:hAnsi="Times New Roman" w:cs="Times New Roman"/>
          <w:b/>
          <w:sz w:val="24"/>
          <w:szCs w:val="24"/>
        </w:rPr>
      </w:pPr>
    </w:p>
    <w:p w:rsidR="0014633C" w:rsidRPr="00920D12" w:rsidRDefault="0014633C" w:rsidP="00920D12">
      <w:pPr>
        <w:spacing w:line="480" w:lineRule="auto"/>
        <w:jc w:val="center"/>
        <w:rPr>
          <w:rFonts w:ascii="Times New Roman" w:hAnsi="Times New Roman" w:cs="Times New Roman"/>
          <w:b/>
          <w:sz w:val="24"/>
          <w:szCs w:val="24"/>
        </w:rPr>
      </w:pPr>
    </w:p>
    <w:p w:rsidR="0014633C" w:rsidRPr="00920D12" w:rsidRDefault="0014633C" w:rsidP="00920D12">
      <w:pPr>
        <w:spacing w:line="480" w:lineRule="auto"/>
        <w:jc w:val="center"/>
        <w:rPr>
          <w:rFonts w:ascii="Times New Roman" w:hAnsi="Times New Roman" w:cs="Times New Roman"/>
          <w:b/>
          <w:sz w:val="24"/>
          <w:szCs w:val="24"/>
        </w:rPr>
      </w:pPr>
    </w:p>
    <w:p w:rsidR="0014633C" w:rsidRPr="00920D12" w:rsidRDefault="0014633C" w:rsidP="00920D12">
      <w:pPr>
        <w:spacing w:line="480" w:lineRule="auto"/>
        <w:jc w:val="center"/>
        <w:rPr>
          <w:rFonts w:ascii="Times New Roman" w:hAnsi="Times New Roman" w:cs="Times New Roman"/>
          <w:b/>
          <w:sz w:val="24"/>
          <w:szCs w:val="24"/>
        </w:rPr>
      </w:pPr>
    </w:p>
    <w:p w:rsidR="0014633C" w:rsidRPr="00920D12" w:rsidRDefault="0014633C" w:rsidP="00920D12">
      <w:pPr>
        <w:spacing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r w:rsidRPr="00920D12">
        <w:rPr>
          <w:rFonts w:ascii="Times New Roman" w:hAnsi="Times New Roman" w:cs="Times New Roman"/>
          <w:b/>
          <w:sz w:val="24"/>
          <w:szCs w:val="24"/>
        </w:rPr>
        <w:lastRenderedPageBreak/>
        <w:t>Week 6 Assignment</w:t>
      </w:r>
    </w:p>
    <w:p w:rsidR="0014633C" w:rsidRPr="00920D12" w:rsidRDefault="0014633C" w:rsidP="00920D12">
      <w:pPr>
        <w:spacing w:after="0" w:line="480" w:lineRule="auto"/>
        <w:jc w:val="center"/>
        <w:rPr>
          <w:rFonts w:ascii="Times New Roman" w:hAnsi="Times New Roman" w:cs="Times New Roman"/>
          <w:b/>
          <w:sz w:val="24"/>
          <w:szCs w:val="24"/>
        </w:rPr>
      </w:pPr>
      <w:r w:rsidRPr="00920D12">
        <w:rPr>
          <w:rFonts w:ascii="Times New Roman" w:hAnsi="Times New Roman" w:cs="Times New Roman"/>
          <w:b/>
          <w:sz w:val="24"/>
          <w:szCs w:val="24"/>
        </w:rPr>
        <w:t xml:space="preserve">Introduction </w:t>
      </w:r>
    </w:p>
    <w:p w:rsidR="0014633C" w:rsidRPr="00920D12" w:rsidRDefault="0014633C" w:rsidP="00920D12">
      <w:pPr>
        <w:spacing w:after="0" w:line="480" w:lineRule="auto"/>
        <w:ind w:firstLine="720"/>
        <w:rPr>
          <w:rFonts w:ascii="Times New Roman" w:hAnsi="Times New Roman" w:cs="Times New Roman"/>
          <w:sz w:val="24"/>
          <w:szCs w:val="24"/>
        </w:rPr>
      </w:pPr>
      <w:r w:rsidRPr="00920D12">
        <w:rPr>
          <w:rFonts w:ascii="Times New Roman" w:hAnsi="Times New Roman" w:cs="Times New Roman"/>
          <w:sz w:val="24"/>
          <w:szCs w:val="24"/>
        </w:rPr>
        <w:t xml:space="preserve">The paper seeks to identify and synthesize evidence relating to the issue of alcohol addiction among the priority populations and the effective interventions directed toward addressing this issue. Priority populations </w:t>
      </w:r>
      <w:r w:rsidR="00B60F57" w:rsidRPr="00920D12">
        <w:rPr>
          <w:rFonts w:ascii="Times New Roman" w:hAnsi="Times New Roman" w:cs="Times New Roman"/>
          <w:sz w:val="24"/>
          <w:szCs w:val="24"/>
        </w:rPr>
        <w:t>referred herein are the communities that are currently not receiving adequate treatment programs or groups that require specific interventions due to the limited effectiveness of standard treatment techniques or unique treatment requirements. Studies reveal that over</w:t>
      </w:r>
      <w:r w:rsidRPr="00920D12">
        <w:rPr>
          <w:rFonts w:ascii="Times New Roman" w:hAnsi="Times New Roman" w:cs="Times New Roman"/>
          <w:sz w:val="24"/>
          <w:szCs w:val="24"/>
        </w:rPr>
        <w:t xml:space="preserve"> 6% of adults in the United States struggle with alcohol dependence, </w:t>
      </w:r>
      <w:r w:rsidR="009379A7" w:rsidRPr="00920D12">
        <w:rPr>
          <w:rFonts w:ascii="Times New Roman" w:hAnsi="Times New Roman" w:cs="Times New Roman"/>
          <w:sz w:val="24"/>
          <w:szCs w:val="24"/>
        </w:rPr>
        <w:t>affecting approximately 1 in every 25 women and 1 in every 12 men</w:t>
      </w:r>
      <w:r w:rsidRPr="00920D12">
        <w:rPr>
          <w:rFonts w:ascii="Times New Roman" w:hAnsi="Times New Roman" w:cs="Times New Roman"/>
          <w:sz w:val="24"/>
          <w:szCs w:val="24"/>
        </w:rPr>
        <w:t xml:space="preserve">, and an additional 623,000 adolescents meeting the DSM-IV criteria for </w:t>
      </w:r>
      <w:r w:rsidR="009379A7" w:rsidRPr="00920D12">
        <w:rPr>
          <w:rFonts w:ascii="Times New Roman" w:hAnsi="Times New Roman" w:cs="Times New Roman"/>
          <w:sz w:val="24"/>
          <w:szCs w:val="24"/>
        </w:rPr>
        <w:t>Alcohol Use Disorder (AUD)</w:t>
      </w:r>
      <w:r w:rsidRPr="00920D12">
        <w:rPr>
          <w:rFonts w:ascii="Times New Roman" w:hAnsi="Times New Roman" w:cs="Times New Roman"/>
          <w:sz w:val="24"/>
          <w:szCs w:val="24"/>
        </w:rPr>
        <w:t xml:space="preserve"> (Nehring et al., 2023). </w:t>
      </w:r>
      <w:r w:rsidR="009379A7" w:rsidRPr="00920D12">
        <w:rPr>
          <w:rFonts w:ascii="Times New Roman" w:hAnsi="Times New Roman" w:cs="Times New Roman"/>
          <w:sz w:val="24"/>
          <w:szCs w:val="24"/>
        </w:rPr>
        <w:t xml:space="preserve">Given the high incidence of individuals struggling with </w:t>
      </w:r>
      <w:r w:rsidRPr="00920D12">
        <w:rPr>
          <w:rFonts w:ascii="Times New Roman" w:hAnsi="Times New Roman" w:cs="Times New Roman"/>
          <w:sz w:val="24"/>
          <w:szCs w:val="24"/>
        </w:rPr>
        <w:t>alcohol addiction among the priority populations, it is significant to design and implement intervention</w:t>
      </w:r>
      <w:r w:rsidR="00B422E7" w:rsidRPr="00920D12">
        <w:rPr>
          <w:rFonts w:ascii="Times New Roman" w:hAnsi="Times New Roman" w:cs="Times New Roman"/>
          <w:sz w:val="24"/>
          <w:szCs w:val="24"/>
        </w:rPr>
        <w:t>s</w:t>
      </w:r>
      <w:r w:rsidRPr="00920D12">
        <w:rPr>
          <w:rFonts w:ascii="Times New Roman" w:hAnsi="Times New Roman" w:cs="Times New Roman"/>
          <w:sz w:val="24"/>
          <w:szCs w:val="24"/>
        </w:rPr>
        <w:t xml:space="preserve"> </w:t>
      </w:r>
      <w:r w:rsidR="002539C4" w:rsidRPr="00920D12">
        <w:rPr>
          <w:rFonts w:ascii="Times New Roman" w:hAnsi="Times New Roman" w:cs="Times New Roman"/>
          <w:sz w:val="24"/>
          <w:szCs w:val="24"/>
        </w:rPr>
        <w:t>to efficiently tackle this issue</w:t>
      </w:r>
      <w:r w:rsidRPr="00920D12">
        <w:rPr>
          <w:rFonts w:ascii="Times New Roman" w:hAnsi="Times New Roman" w:cs="Times New Roman"/>
          <w:sz w:val="24"/>
          <w:szCs w:val="24"/>
        </w:rPr>
        <w:t xml:space="preserve">. It is worth noting that total abstinence is prospectively not mandatory to attain significant alcohol-related harm reduction and health gains among particular populations (Collins et al., 2021; Malone et al., 2019). </w:t>
      </w:r>
      <w:r w:rsidR="002539C4" w:rsidRPr="00920D12">
        <w:rPr>
          <w:rFonts w:ascii="Times New Roman" w:hAnsi="Times New Roman" w:cs="Times New Roman"/>
          <w:sz w:val="24"/>
          <w:szCs w:val="24"/>
        </w:rPr>
        <w:t>C</w:t>
      </w:r>
      <w:r w:rsidRPr="00920D12">
        <w:rPr>
          <w:rFonts w:ascii="Times New Roman" w:hAnsi="Times New Roman" w:cs="Times New Roman"/>
          <w:sz w:val="24"/>
          <w:szCs w:val="24"/>
        </w:rPr>
        <w:t xml:space="preserve">ontemporary studies emphasize tailored strategies that can incrementally decrease addiction-related risk and enhance physical and mental health-related quality of life for persons experiencing economic and social challenges in accessing effective and acceptable psychological care. </w:t>
      </w:r>
    </w:p>
    <w:p w:rsidR="0014633C" w:rsidRPr="00920D12" w:rsidRDefault="0014633C" w:rsidP="00920D12">
      <w:pPr>
        <w:spacing w:after="0" w:line="480" w:lineRule="auto"/>
        <w:jc w:val="center"/>
        <w:rPr>
          <w:rFonts w:ascii="Times New Roman" w:hAnsi="Times New Roman" w:cs="Times New Roman"/>
          <w:b/>
          <w:sz w:val="24"/>
          <w:szCs w:val="24"/>
        </w:rPr>
      </w:pPr>
      <w:r w:rsidRPr="00920D12">
        <w:rPr>
          <w:rFonts w:ascii="Times New Roman" w:hAnsi="Times New Roman" w:cs="Times New Roman"/>
          <w:b/>
          <w:sz w:val="24"/>
          <w:szCs w:val="24"/>
        </w:rPr>
        <w:t>Analysis of the Practice Problem</w:t>
      </w:r>
    </w:p>
    <w:p w:rsidR="0014633C" w:rsidRPr="00920D12" w:rsidRDefault="0014633C" w:rsidP="00920D12">
      <w:pPr>
        <w:spacing w:after="0" w:line="480" w:lineRule="auto"/>
        <w:rPr>
          <w:rFonts w:ascii="Times New Roman" w:hAnsi="Times New Roman" w:cs="Times New Roman"/>
          <w:b/>
          <w:sz w:val="24"/>
          <w:szCs w:val="24"/>
        </w:rPr>
      </w:pPr>
      <w:r w:rsidRPr="00920D12">
        <w:rPr>
          <w:rFonts w:ascii="Times New Roman" w:hAnsi="Times New Roman" w:cs="Times New Roman"/>
          <w:b/>
          <w:sz w:val="24"/>
          <w:szCs w:val="24"/>
        </w:rPr>
        <w:t>Significance and Economic Ramifications of the Practice Problem</w:t>
      </w:r>
    </w:p>
    <w:p w:rsidR="0014633C" w:rsidRPr="00920D12" w:rsidRDefault="0014633C" w:rsidP="00920D12">
      <w:pPr>
        <w:spacing w:after="0" w:line="480" w:lineRule="auto"/>
        <w:ind w:firstLine="720"/>
        <w:rPr>
          <w:rFonts w:ascii="Times New Roman" w:hAnsi="Times New Roman" w:cs="Times New Roman"/>
          <w:sz w:val="24"/>
          <w:szCs w:val="24"/>
        </w:rPr>
      </w:pPr>
      <w:r w:rsidRPr="00920D12">
        <w:rPr>
          <w:rFonts w:ascii="Times New Roman" w:hAnsi="Times New Roman" w:cs="Times New Roman"/>
          <w:sz w:val="24"/>
          <w:szCs w:val="24"/>
        </w:rPr>
        <w:t>Alcohol use has be</w:t>
      </w:r>
      <w:r w:rsidR="00EA10D6" w:rsidRPr="00920D12">
        <w:rPr>
          <w:rFonts w:ascii="Times New Roman" w:hAnsi="Times New Roman" w:cs="Times New Roman"/>
          <w:sz w:val="24"/>
          <w:szCs w:val="24"/>
        </w:rPr>
        <w:t xml:space="preserve">come widely accepted as a norm for dealingwith </w:t>
      </w:r>
      <w:r w:rsidRPr="00920D12">
        <w:rPr>
          <w:rFonts w:ascii="Times New Roman" w:hAnsi="Times New Roman" w:cs="Times New Roman"/>
          <w:sz w:val="24"/>
          <w:szCs w:val="24"/>
        </w:rPr>
        <w:t xml:space="preserve">stressful life situations across diverse situations. </w:t>
      </w:r>
      <w:r w:rsidR="00EA10D6" w:rsidRPr="00920D12">
        <w:rPr>
          <w:rFonts w:ascii="Times New Roman" w:hAnsi="Times New Roman" w:cs="Times New Roman"/>
          <w:sz w:val="24"/>
          <w:szCs w:val="24"/>
        </w:rPr>
        <w:t>Notably,</w:t>
      </w:r>
      <w:r w:rsidR="001113CC" w:rsidRPr="00920D12">
        <w:rPr>
          <w:rFonts w:ascii="Times New Roman" w:hAnsi="Times New Roman" w:cs="Times New Roman"/>
          <w:sz w:val="24"/>
          <w:szCs w:val="24"/>
        </w:rPr>
        <w:t xml:space="preserve"> there is a connection between</w:t>
      </w:r>
      <w:r w:rsidRPr="00920D12">
        <w:rPr>
          <w:rFonts w:ascii="Times New Roman" w:hAnsi="Times New Roman" w:cs="Times New Roman"/>
          <w:sz w:val="24"/>
          <w:szCs w:val="24"/>
        </w:rPr>
        <w:t xml:space="preserve"> socioeconomic status and individual-level job loss </w:t>
      </w:r>
      <w:r w:rsidR="001113CC" w:rsidRPr="00920D12">
        <w:rPr>
          <w:rFonts w:ascii="Times New Roman" w:hAnsi="Times New Roman" w:cs="Times New Roman"/>
          <w:sz w:val="24"/>
          <w:szCs w:val="24"/>
        </w:rPr>
        <w:t>and their likelihood</w:t>
      </w:r>
      <w:r w:rsidRPr="00920D12">
        <w:rPr>
          <w:rFonts w:ascii="Times New Roman" w:hAnsi="Times New Roman" w:cs="Times New Roman"/>
          <w:sz w:val="24"/>
          <w:szCs w:val="24"/>
        </w:rPr>
        <w:t xml:space="preserve"> of consuming alcohol and struggling with </w:t>
      </w:r>
      <w:r w:rsidRPr="00920D12">
        <w:rPr>
          <w:rFonts w:ascii="Times New Roman" w:hAnsi="Times New Roman" w:cs="Times New Roman"/>
          <w:sz w:val="24"/>
          <w:szCs w:val="24"/>
        </w:rPr>
        <w:lastRenderedPageBreak/>
        <w:t>alcohol</w:t>
      </w:r>
      <w:r w:rsidR="00B422E7" w:rsidRPr="00920D12">
        <w:rPr>
          <w:rFonts w:ascii="Times New Roman" w:hAnsi="Times New Roman" w:cs="Times New Roman"/>
          <w:sz w:val="24"/>
          <w:szCs w:val="24"/>
        </w:rPr>
        <w:t>-</w:t>
      </w:r>
      <w:r w:rsidRPr="00920D12">
        <w:rPr>
          <w:rFonts w:ascii="Times New Roman" w:hAnsi="Times New Roman" w:cs="Times New Roman"/>
          <w:sz w:val="24"/>
          <w:szCs w:val="24"/>
        </w:rPr>
        <w:t xml:space="preserve">related problems (Collins, 2016; Mulia et al., 2014). Specifically, individuals from higher social economic status (SES) tend to consume similar or higher amounts of alcohol compared to individuals from lower socioeconomic status. However, individuals with lower SES tend to experience </w:t>
      </w:r>
      <w:r w:rsidR="00B422E7" w:rsidRPr="00920D12">
        <w:rPr>
          <w:rFonts w:ascii="Times New Roman" w:hAnsi="Times New Roman" w:cs="Times New Roman"/>
          <w:sz w:val="24"/>
          <w:szCs w:val="24"/>
        </w:rPr>
        <w:t xml:space="preserve">a </w:t>
      </w:r>
      <w:r w:rsidRPr="00920D12">
        <w:rPr>
          <w:rFonts w:ascii="Times New Roman" w:hAnsi="Times New Roman" w:cs="Times New Roman"/>
          <w:sz w:val="24"/>
          <w:szCs w:val="24"/>
        </w:rPr>
        <w:t>disproportionate burden of negative alcohol</w:t>
      </w:r>
      <w:r w:rsidR="00B422E7" w:rsidRPr="00920D12">
        <w:rPr>
          <w:rFonts w:ascii="Times New Roman" w:hAnsi="Times New Roman" w:cs="Times New Roman"/>
          <w:sz w:val="24"/>
          <w:szCs w:val="24"/>
        </w:rPr>
        <w:t>-</w:t>
      </w:r>
      <w:r w:rsidRPr="00920D12">
        <w:rPr>
          <w:rFonts w:ascii="Times New Roman" w:hAnsi="Times New Roman" w:cs="Times New Roman"/>
          <w:sz w:val="24"/>
          <w:szCs w:val="24"/>
        </w:rPr>
        <w:t>related consequences, in addition to other moderating factors</w:t>
      </w:r>
      <w:r w:rsidR="00B422E7" w:rsidRPr="00920D12">
        <w:rPr>
          <w:rFonts w:ascii="Times New Roman" w:hAnsi="Times New Roman" w:cs="Times New Roman"/>
          <w:sz w:val="24"/>
          <w:szCs w:val="24"/>
        </w:rPr>
        <w:t>,</w:t>
      </w:r>
      <w:r w:rsidRPr="00920D12">
        <w:rPr>
          <w:rFonts w:ascii="Times New Roman" w:hAnsi="Times New Roman" w:cs="Times New Roman"/>
          <w:sz w:val="24"/>
          <w:szCs w:val="24"/>
        </w:rPr>
        <w:t xml:space="preserve"> including ethnicity, race, and gender</w:t>
      </w:r>
      <w:r w:rsidR="00B422E7" w:rsidRPr="00920D12">
        <w:rPr>
          <w:rFonts w:ascii="Times New Roman" w:hAnsi="Times New Roman" w:cs="Times New Roman"/>
          <w:sz w:val="24"/>
          <w:szCs w:val="24"/>
        </w:rPr>
        <w:t>,</w:t>
      </w:r>
      <w:r w:rsidRPr="00920D12">
        <w:rPr>
          <w:rFonts w:ascii="Times New Roman" w:hAnsi="Times New Roman" w:cs="Times New Roman"/>
          <w:sz w:val="24"/>
          <w:szCs w:val="24"/>
        </w:rPr>
        <w:t xml:space="preserve"> that may worsen the experience (Collins, 2016). Alcohol drinking may develop into addiction if it starts to cause social, occupational, and psychological complications and mortality to an individual or their family (Collins et al., 2021). Yet, only a handful of studies explicitly address the disproportionate prevalence of this trend among priority populations, especially the homeless and sexual minority women of color (Cerezo et al., 2020; Collins et al., 2021). It is worth noting that total abstinence is prospectively not mandatory to attain significant alcohol-related harm reduction and health gains among particular populations (Collins et al., 2021; Malone et al., 2019). As such, contemporary studies emphasize tailored strategies that can incrementally decrease addiction-related risk and enhance physical and mental health-related quality of life for persons experiencing economic and social challenges in accessing effective and acceptable psychological care.</w:t>
      </w:r>
    </w:p>
    <w:p w:rsidR="0014633C" w:rsidRPr="00920D12" w:rsidRDefault="0014633C" w:rsidP="00920D12">
      <w:pPr>
        <w:spacing w:after="0" w:line="480" w:lineRule="auto"/>
        <w:rPr>
          <w:rFonts w:ascii="Times New Roman" w:hAnsi="Times New Roman" w:cs="Times New Roman"/>
          <w:b/>
          <w:sz w:val="24"/>
          <w:szCs w:val="24"/>
        </w:rPr>
      </w:pPr>
      <w:r w:rsidRPr="00920D12">
        <w:rPr>
          <w:rFonts w:ascii="Times New Roman" w:hAnsi="Times New Roman" w:cs="Times New Roman"/>
          <w:b/>
          <w:sz w:val="24"/>
          <w:szCs w:val="24"/>
        </w:rPr>
        <w:t xml:space="preserve">Prevalence and Mortality </w:t>
      </w:r>
    </w:p>
    <w:p w:rsidR="0014633C" w:rsidRPr="00920D12" w:rsidRDefault="0014633C" w:rsidP="00920D12">
      <w:pPr>
        <w:spacing w:after="0" w:line="480" w:lineRule="auto"/>
        <w:ind w:firstLine="720"/>
        <w:rPr>
          <w:rFonts w:ascii="Times New Roman" w:hAnsi="Times New Roman" w:cs="Times New Roman"/>
          <w:sz w:val="24"/>
          <w:szCs w:val="24"/>
        </w:rPr>
      </w:pPr>
      <w:r w:rsidRPr="00920D12">
        <w:rPr>
          <w:rFonts w:ascii="Times New Roman" w:hAnsi="Times New Roman" w:cs="Times New Roman"/>
          <w:sz w:val="24"/>
          <w:szCs w:val="24"/>
        </w:rPr>
        <w:t xml:space="preserve">The examined research studies noted disproportionate rates of alcohol use and addiction-related consequences across diverse ethnic populations. </w:t>
      </w:r>
      <w:r w:rsidR="00195FDD" w:rsidRPr="00920D12">
        <w:rPr>
          <w:rFonts w:ascii="Times New Roman" w:hAnsi="Times New Roman" w:cs="Times New Roman"/>
          <w:sz w:val="24"/>
          <w:szCs w:val="24"/>
        </w:rPr>
        <w:t>According to Cerezo et al. (2020), sexual minority women have a higher likelihood of being current binge drinkers</w:t>
      </w:r>
      <w:r w:rsidRPr="00920D12">
        <w:rPr>
          <w:rFonts w:ascii="Times New Roman" w:hAnsi="Times New Roman" w:cs="Times New Roman"/>
          <w:sz w:val="24"/>
          <w:szCs w:val="24"/>
        </w:rPr>
        <w:t>, particularly at least four drinks on an occasion per day within 30 days and heavy drinkers, implying binge drinking on 5 or more days within a month, and are 11 times more likely to suffice the criteria for alcohol addiction than their heterosexual peers.</w:t>
      </w:r>
      <w:r w:rsidR="00195FDD" w:rsidRPr="00920D12">
        <w:rPr>
          <w:rFonts w:ascii="Times New Roman" w:hAnsi="Times New Roman" w:cs="Times New Roman"/>
          <w:sz w:val="24"/>
          <w:szCs w:val="24"/>
        </w:rPr>
        <w:t xml:space="preserve"> According to Collins et al. (2021), the occurrence of </w:t>
      </w:r>
      <w:r w:rsidR="00195FDD" w:rsidRPr="00920D12">
        <w:rPr>
          <w:rFonts w:ascii="Times New Roman" w:hAnsi="Times New Roman" w:cs="Times New Roman"/>
          <w:sz w:val="24"/>
          <w:szCs w:val="24"/>
        </w:rPr>
        <w:lastRenderedPageBreak/>
        <w:t>alcohol addiction is ten times higher among the homeless population compared to the general population. Similarly, Malone et al. (2019) indicate that about 25% or 64.2 million American adults engage in binge drinking, whereas 16.1 million adults report excessive drinking in the preceding month. There exists a connection between S</w:t>
      </w:r>
      <w:r w:rsidRPr="00920D12">
        <w:rPr>
          <w:rFonts w:ascii="Times New Roman" w:hAnsi="Times New Roman" w:cs="Times New Roman"/>
          <w:sz w:val="24"/>
          <w:szCs w:val="24"/>
        </w:rPr>
        <w:t xml:space="preserve">ocioeconomic status and individual-level job loss </w:t>
      </w:r>
      <w:r w:rsidR="00195FDD" w:rsidRPr="00920D12">
        <w:rPr>
          <w:rFonts w:ascii="Times New Roman" w:hAnsi="Times New Roman" w:cs="Times New Roman"/>
          <w:sz w:val="24"/>
          <w:szCs w:val="24"/>
        </w:rPr>
        <w:t xml:space="preserve">and their </w:t>
      </w:r>
      <w:r w:rsidRPr="00920D12">
        <w:rPr>
          <w:rFonts w:ascii="Times New Roman" w:hAnsi="Times New Roman" w:cs="Times New Roman"/>
          <w:sz w:val="24"/>
          <w:szCs w:val="24"/>
        </w:rPr>
        <w:t>likelihood of consuming alcohol and struggling with alcohol</w:t>
      </w:r>
      <w:r w:rsidR="00B422E7" w:rsidRPr="00920D12">
        <w:rPr>
          <w:rFonts w:ascii="Times New Roman" w:hAnsi="Times New Roman" w:cs="Times New Roman"/>
          <w:sz w:val="24"/>
          <w:szCs w:val="24"/>
        </w:rPr>
        <w:t>-</w:t>
      </w:r>
      <w:r w:rsidRPr="00920D12">
        <w:rPr>
          <w:rFonts w:ascii="Times New Roman" w:hAnsi="Times New Roman" w:cs="Times New Roman"/>
          <w:sz w:val="24"/>
          <w:szCs w:val="24"/>
        </w:rPr>
        <w:t xml:space="preserve">related problems (Collins, 2016; Mulia et al., 2014). Research by Ding et al. (2021) asserts that </w:t>
      </w:r>
      <w:r w:rsidR="00195FDD" w:rsidRPr="00920D12">
        <w:rPr>
          <w:rFonts w:ascii="Times New Roman" w:hAnsi="Times New Roman" w:cs="Times New Roman"/>
          <w:sz w:val="24"/>
          <w:szCs w:val="24"/>
        </w:rPr>
        <w:t xml:space="preserve">there is a correlation between </w:t>
      </w:r>
      <w:r w:rsidRPr="00920D12">
        <w:rPr>
          <w:rFonts w:ascii="Times New Roman" w:hAnsi="Times New Roman" w:cs="Times New Roman"/>
          <w:sz w:val="24"/>
          <w:szCs w:val="24"/>
        </w:rPr>
        <w:t xml:space="preserve">alcohol consumption </w:t>
      </w:r>
      <w:r w:rsidR="00871965" w:rsidRPr="00920D12">
        <w:rPr>
          <w:rFonts w:ascii="Times New Roman" w:hAnsi="Times New Roman" w:cs="Times New Roman"/>
          <w:sz w:val="24"/>
          <w:szCs w:val="24"/>
        </w:rPr>
        <w:t>and various health outcomes, including overall mortality, cardiovascular mortality, and subsequent cardiovascular events</w:t>
      </w:r>
      <w:r w:rsidRPr="00920D12">
        <w:rPr>
          <w:rFonts w:ascii="Times New Roman" w:hAnsi="Times New Roman" w:cs="Times New Roman"/>
          <w:sz w:val="24"/>
          <w:szCs w:val="24"/>
        </w:rPr>
        <w:t xml:space="preserve">. </w:t>
      </w:r>
    </w:p>
    <w:p w:rsidR="0014633C" w:rsidRPr="00920D12" w:rsidRDefault="0014633C" w:rsidP="00920D12">
      <w:pPr>
        <w:spacing w:after="0" w:line="480" w:lineRule="auto"/>
        <w:jc w:val="center"/>
        <w:rPr>
          <w:rFonts w:ascii="Times New Roman" w:hAnsi="Times New Roman" w:cs="Times New Roman"/>
          <w:b/>
          <w:sz w:val="24"/>
          <w:szCs w:val="24"/>
        </w:rPr>
      </w:pPr>
      <w:r w:rsidRPr="00920D12">
        <w:rPr>
          <w:rFonts w:ascii="Times New Roman" w:hAnsi="Times New Roman" w:cs="Times New Roman"/>
          <w:b/>
          <w:sz w:val="24"/>
          <w:szCs w:val="24"/>
        </w:rPr>
        <w:t>Evidence Synthesis</w:t>
      </w:r>
    </w:p>
    <w:p w:rsidR="0014633C" w:rsidRPr="00920D12" w:rsidRDefault="0014633C" w:rsidP="00920D12">
      <w:pPr>
        <w:spacing w:after="0" w:line="480" w:lineRule="auto"/>
        <w:rPr>
          <w:rFonts w:ascii="Times New Roman" w:hAnsi="Times New Roman" w:cs="Times New Roman"/>
          <w:b/>
          <w:sz w:val="24"/>
          <w:szCs w:val="24"/>
        </w:rPr>
      </w:pPr>
      <w:r w:rsidRPr="00920D12">
        <w:rPr>
          <w:rFonts w:ascii="Times New Roman" w:hAnsi="Times New Roman" w:cs="Times New Roman"/>
          <w:b/>
          <w:sz w:val="24"/>
          <w:szCs w:val="24"/>
        </w:rPr>
        <w:t>Main Themes and Salient Evidence</w:t>
      </w:r>
    </w:p>
    <w:p w:rsidR="0014633C" w:rsidRPr="00920D12" w:rsidRDefault="0014633C" w:rsidP="00920D12">
      <w:pPr>
        <w:spacing w:after="0" w:line="480" w:lineRule="auto"/>
        <w:ind w:firstLine="720"/>
        <w:rPr>
          <w:rFonts w:ascii="Times New Roman" w:hAnsi="Times New Roman" w:cs="Times New Roman"/>
          <w:sz w:val="24"/>
          <w:szCs w:val="24"/>
        </w:rPr>
      </w:pPr>
      <w:r w:rsidRPr="00920D12">
        <w:rPr>
          <w:rFonts w:ascii="Times New Roman" w:hAnsi="Times New Roman" w:cs="Times New Roman"/>
          <w:sz w:val="24"/>
          <w:szCs w:val="24"/>
        </w:rPr>
        <w:t xml:space="preserve">One consistent theme in the examined research studies is the underutilization of pharmacotherapies in alcohol dependence treatment. </w:t>
      </w:r>
      <w:r w:rsidR="00CA591F" w:rsidRPr="00920D12">
        <w:rPr>
          <w:rFonts w:ascii="Times New Roman" w:hAnsi="Times New Roman" w:cs="Times New Roman"/>
          <w:sz w:val="24"/>
          <w:szCs w:val="24"/>
        </w:rPr>
        <w:t xml:space="preserve">The analyzed articles identified several obstacles that hinder access to proactive coping and treatment interventions, such as </w:t>
      </w:r>
      <w:r w:rsidRPr="00920D12">
        <w:rPr>
          <w:rFonts w:ascii="Times New Roman" w:hAnsi="Times New Roman" w:cs="Times New Roman"/>
          <w:sz w:val="24"/>
          <w:szCs w:val="24"/>
        </w:rPr>
        <w:t xml:space="preserve">the perceived high cost of therapy and fear that clinicians may invalidate or fail to understand unique client-specific needs (Cerezo et al., 2020; Collins et al., 2021; Malone et al., 2019). The examined studies also </w:t>
      </w:r>
      <w:r w:rsidR="00CA591F" w:rsidRPr="00920D12">
        <w:rPr>
          <w:rFonts w:ascii="Times New Roman" w:hAnsi="Times New Roman" w:cs="Times New Roman"/>
          <w:sz w:val="24"/>
          <w:szCs w:val="24"/>
        </w:rPr>
        <w:t>emphasized the necessity of treatment protocols and fair distribution of resources, particularly among socially disadvantaged or underserved populations, in order to enhance accessibility to unbiased treatments</w:t>
      </w:r>
      <w:r w:rsidRPr="00920D12">
        <w:rPr>
          <w:rFonts w:ascii="Times New Roman" w:hAnsi="Times New Roman" w:cs="Times New Roman"/>
          <w:sz w:val="24"/>
          <w:szCs w:val="24"/>
        </w:rPr>
        <w:t xml:space="preserve">. The </w:t>
      </w:r>
      <w:r w:rsidR="00CA591F" w:rsidRPr="00920D12">
        <w:rPr>
          <w:rFonts w:ascii="Times New Roman" w:hAnsi="Times New Roman" w:cs="Times New Roman"/>
          <w:sz w:val="24"/>
          <w:szCs w:val="24"/>
        </w:rPr>
        <w:t xml:space="preserve">articles demonstrated that incorporating pharmacological interventions, specifically extended-release naltrexone (XR-NTX), into regular community-based care can greatly improve treatment engagement and retention for individuals with alcohol use disorders (AUDs), considering the current rise in their prevalence (Collins et al., 2021; Malone et al., 2019). The examined studies also emphasized the importance of creating training programs </w:t>
      </w:r>
      <w:r w:rsidRPr="00920D12">
        <w:rPr>
          <w:rFonts w:ascii="Times New Roman" w:hAnsi="Times New Roman" w:cs="Times New Roman"/>
          <w:sz w:val="24"/>
          <w:szCs w:val="24"/>
        </w:rPr>
        <w:t xml:space="preserve">that integrate coursework and training that sufficiently represents the wide </w:t>
      </w:r>
      <w:r w:rsidRPr="00920D12">
        <w:rPr>
          <w:rFonts w:ascii="Times New Roman" w:hAnsi="Times New Roman" w:cs="Times New Roman"/>
          <w:sz w:val="24"/>
          <w:szCs w:val="24"/>
        </w:rPr>
        <w:lastRenderedPageBreak/>
        <w:t xml:space="preserve">range of diversity present in priority communities while exposing providers to a broad conceptualization of the unique patient-specific needs to foster tailored treatment approaches (Cerezo et al., 2020; Collins et al., 2021; Malone et al., 2019). </w:t>
      </w:r>
    </w:p>
    <w:p w:rsidR="0014633C" w:rsidRPr="00920D12" w:rsidRDefault="0014633C" w:rsidP="00920D12">
      <w:pPr>
        <w:spacing w:after="0" w:line="480" w:lineRule="auto"/>
        <w:rPr>
          <w:rFonts w:ascii="Times New Roman" w:hAnsi="Times New Roman" w:cs="Times New Roman"/>
          <w:b/>
          <w:sz w:val="24"/>
          <w:szCs w:val="24"/>
        </w:rPr>
      </w:pPr>
      <w:r w:rsidRPr="00920D12">
        <w:rPr>
          <w:rFonts w:ascii="Times New Roman" w:hAnsi="Times New Roman" w:cs="Times New Roman"/>
          <w:b/>
          <w:sz w:val="24"/>
          <w:szCs w:val="24"/>
        </w:rPr>
        <w:t>Main Points</w:t>
      </w:r>
    </w:p>
    <w:p w:rsidR="0014633C" w:rsidRPr="00920D12" w:rsidRDefault="0014633C" w:rsidP="00920D12">
      <w:pPr>
        <w:spacing w:after="0" w:line="480" w:lineRule="auto"/>
        <w:ind w:firstLine="720"/>
        <w:rPr>
          <w:rFonts w:ascii="Times New Roman" w:hAnsi="Times New Roman" w:cs="Times New Roman"/>
          <w:sz w:val="24"/>
          <w:szCs w:val="24"/>
        </w:rPr>
      </w:pPr>
      <w:r w:rsidRPr="00920D12">
        <w:rPr>
          <w:rFonts w:ascii="Times New Roman" w:hAnsi="Times New Roman" w:cs="Times New Roman"/>
          <w:sz w:val="24"/>
          <w:szCs w:val="24"/>
        </w:rPr>
        <w:t xml:space="preserve">Based on the selected sources of evidence, it is apparent that in the context of alcohol addiction, coping, cognitive, and social processes transpire simultaneously. In this regard, the psychological mediation framework of managing alcohol addiction stands out as an effective and acceptable approach to address the resultant psychological distress, which contributes to increased drinking rates to cope with life stress (Cerezo et al., 2020; Collins et al., 2021). </w:t>
      </w:r>
      <w:r w:rsidR="00336593" w:rsidRPr="00920D12">
        <w:rPr>
          <w:rFonts w:ascii="Times New Roman" w:hAnsi="Times New Roman" w:cs="Times New Roman"/>
          <w:sz w:val="24"/>
          <w:szCs w:val="24"/>
        </w:rPr>
        <w:t>Underserved communities encounter numerous distinct difficulties that restrict their ability to obtain psychological assistance. For instance, Cerezo et al. (2020) identify economic hardship and prejudice as common stressors experienced by the majority of sexual minority women living in the San Francisco Bay Area and Sacramento regions</w:t>
      </w:r>
      <w:r w:rsidRPr="00920D12">
        <w:rPr>
          <w:rFonts w:ascii="Times New Roman" w:hAnsi="Times New Roman" w:cs="Times New Roman"/>
          <w:sz w:val="24"/>
          <w:szCs w:val="24"/>
        </w:rPr>
        <w:t>. Of note, educational programs for mental health practitioners should acknowledge the extent to which problems impacting minority communities in the external world transpire within practice settings while availing resources that help patients feel acknowledged and able to pursue proactive coping practices (Cerezo et al., 2020).</w:t>
      </w:r>
    </w:p>
    <w:p w:rsidR="0014633C" w:rsidRPr="00920D12" w:rsidRDefault="0014633C" w:rsidP="00920D12">
      <w:pPr>
        <w:spacing w:after="0" w:line="480" w:lineRule="auto"/>
        <w:rPr>
          <w:rFonts w:ascii="Times New Roman" w:hAnsi="Times New Roman" w:cs="Times New Roman"/>
          <w:b/>
          <w:sz w:val="24"/>
          <w:szCs w:val="24"/>
        </w:rPr>
      </w:pPr>
      <w:r w:rsidRPr="00920D12">
        <w:rPr>
          <w:rFonts w:ascii="Times New Roman" w:hAnsi="Times New Roman" w:cs="Times New Roman"/>
          <w:b/>
          <w:sz w:val="24"/>
          <w:szCs w:val="24"/>
        </w:rPr>
        <w:t xml:space="preserve">Overarching Synthesis </w:t>
      </w:r>
    </w:p>
    <w:p w:rsidR="00B422E7" w:rsidRPr="00920D12" w:rsidRDefault="00336593" w:rsidP="00920D12">
      <w:pPr>
        <w:spacing w:after="0" w:line="480" w:lineRule="auto"/>
        <w:ind w:firstLine="720"/>
        <w:rPr>
          <w:rFonts w:ascii="Times New Roman" w:hAnsi="Times New Roman" w:cs="Times New Roman"/>
          <w:sz w:val="24"/>
          <w:szCs w:val="24"/>
        </w:rPr>
      </w:pPr>
      <w:r w:rsidRPr="00920D12">
        <w:rPr>
          <w:rFonts w:ascii="Times New Roman" w:hAnsi="Times New Roman" w:cs="Times New Roman"/>
          <w:sz w:val="24"/>
          <w:szCs w:val="24"/>
        </w:rPr>
        <w:t xml:space="preserve">Only a small proportion of individuals struggling with alcohol addiction receive specialized treatment, and a limited number of patients have the opportunity to use prescribed drugs that effectively help them control or reduce their cravings (Collins et al., 2021; Malone et al., 2019). </w:t>
      </w:r>
      <w:r w:rsidR="0014633C" w:rsidRPr="00920D12">
        <w:rPr>
          <w:rFonts w:ascii="Times New Roman" w:hAnsi="Times New Roman" w:cs="Times New Roman"/>
          <w:sz w:val="24"/>
          <w:szCs w:val="24"/>
        </w:rPr>
        <w:t xml:space="preserve">Examined research studies revealed the effectiveness of initiating pharmacotherapies in routine primary care to improve alcohol addiction treatment and reduce the frequency of </w:t>
      </w:r>
      <w:r w:rsidR="0014633C" w:rsidRPr="00920D12">
        <w:rPr>
          <w:rFonts w:ascii="Times New Roman" w:hAnsi="Times New Roman" w:cs="Times New Roman"/>
          <w:sz w:val="24"/>
          <w:szCs w:val="24"/>
        </w:rPr>
        <w:lastRenderedPageBreak/>
        <w:t xml:space="preserve">emergency department visits (Collins et al., 2021; Malone et al., 2019). </w:t>
      </w:r>
      <w:r w:rsidRPr="00920D12">
        <w:rPr>
          <w:rFonts w:ascii="Times New Roman" w:hAnsi="Times New Roman" w:cs="Times New Roman"/>
          <w:sz w:val="24"/>
          <w:szCs w:val="24"/>
        </w:rPr>
        <w:t xml:space="preserve">Implementing Cognitive Behavioral Therapy (CBT) interventions in a clinical context can effectively help individuals dealing with alcohol addiction achieve favorable outcomes (Magill et al., 2019; Olmstead et al., 2019). Collins et al. (2021) provide evidence of the effectiveness of XR-NTX in significantly reducing alcohol demand and use, while also promoting greater adherence to treatment compared to O-NTX. The results align with Anderson et al.'s suggestion to incorporate XR-NTX into clinical practice as a method to enhance post-discharge addiction therapy follow-up after emergency department discharge. </w:t>
      </w:r>
      <w:r w:rsidR="0014633C" w:rsidRPr="00920D12">
        <w:rPr>
          <w:rFonts w:ascii="Times New Roman" w:hAnsi="Times New Roman" w:cs="Times New Roman"/>
          <w:sz w:val="24"/>
          <w:szCs w:val="24"/>
        </w:rPr>
        <w:t>Overall, practitioners must strive to address the structural, institutional, and practice barriers that hinder effective access to proactive coping and treatment interventions for alcohol addiction (Cerezo et al., 2020; Collins et al., 2021; Malone et al., 2019). Accordingly, there is a need to implement practices that combine alcohol use navigation with effective pharmacotherapies as a strategy to facilitate brief assessment visits and follow-up in addiction treatment (Collins et al., 2021; Malone et al., 2019).</w:t>
      </w:r>
    </w:p>
    <w:p w:rsidR="0014633C" w:rsidRPr="00920D12" w:rsidRDefault="0014633C" w:rsidP="00920D12">
      <w:pPr>
        <w:spacing w:after="0" w:line="480" w:lineRule="auto"/>
        <w:ind w:firstLine="720"/>
        <w:rPr>
          <w:rFonts w:ascii="Times New Roman" w:hAnsi="Times New Roman" w:cs="Times New Roman"/>
          <w:sz w:val="24"/>
          <w:szCs w:val="24"/>
        </w:rPr>
      </w:pPr>
      <w:r w:rsidRPr="00920D12">
        <w:rPr>
          <w:rFonts w:ascii="Times New Roman" w:hAnsi="Times New Roman" w:cs="Times New Roman"/>
          <w:sz w:val="24"/>
          <w:szCs w:val="24"/>
        </w:rPr>
        <w:t xml:space="preserve">Moreover, healthcare professionals should adopt a pragmatic, compassionate, and patient-centered approach in delivering patient education on safer drinking strategies, eliciting health-related quality of life and addiction-reduction goals, and collaboratively tracking patient-preferred alcohol-related treatment outcomes (Collins et al., 2021; Malone et al., 2019). Implementing a psychological mediation framework for managing alcohol addiction will be efficient in addressing the resultant psychological distress, which contributes to increased drinking rates to cope with life stress (Cerezo et al., 2020; Collins et al., 2021). As such, a combination of pharmacotherapeutic approaches and routine care, including medications for alcohol treatment, will be significant in cost-effectively addressing this issue (Malone et al., 2019; Collins et al., 2021; Olmstead et al., 2019). </w:t>
      </w:r>
    </w:p>
    <w:p w:rsidR="009F1C5A" w:rsidRPr="00920D12" w:rsidRDefault="009F1C5A" w:rsidP="00920D12">
      <w:pPr>
        <w:spacing w:after="0" w:line="480" w:lineRule="auto"/>
        <w:jc w:val="center"/>
        <w:rPr>
          <w:rFonts w:ascii="Times New Roman" w:hAnsi="Times New Roman" w:cs="Times New Roman"/>
          <w:b/>
          <w:sz w:val="24"/>
          <w:szCs w:val="24"/>
        </w:rPr>
      </w:pPr>
      <w:r w:rsidRPr="00920D12">
        <w:rPr>
          <w:rFonts w:ascii="Times New Roman" w:hAnsi="Times New Roman" w:cs="Times New Roman"/>
          <w:b/>
          <w:sz w:val="24"/>
          <w:szCs w:val="24"/>
        </w:rPr>
        <w:lastRenderedPageBreak/>
        <w:t>P</w:t>
      </w:r>
      <w:r w:rsidR="008B4E44" w:rsidRPr="00920D12">
        <w:rPr>
          <w:rFonts w:ascii="Times New Roman" w:hAnsi="Times New Roman" w:cs="Times New Roman"/>
          <w:b/>
          <w:sz w:val="24"/>
          <w:szCs w:val="24"/>
        </w:rPr>
        <w:t>ractice Question</w:t>
      </w:r>
    </w:p>
    <w:p w:rsidR="00303ACE" w:rsidRPr="00920D12" w:rsidRDefault="00303ACE" w:rsidP="00920D12">
      <w:pPr>
        <w:spacing w:after="0" w:line="480" w:lineRule="auto"/>
        <w:ind w:firstLine="720"/>
        <w:rPr>
          <w:rFonts w:ascii="Times New Roman" w:hAnsi="Times New Roman" w:cs="Times New Roman"/>
          <w:sz w:val="24"/>
          <w:szCs w:val="24"/>
        </w:rPr>
      </w:pPr>
      <w:r w:rsidRPr="00920D12">
        <w:rPr>
          <w:rFonts w:ascii="Times New Roman" w:hAnsi="Times New Roman" w:cs="Times New Roman"/>
          <w:sz w:val="24"/>
          <w:szCs w:val="24"/>
        </w:rPr>
        <w:t>A PICOT question that can help in examining literature directed towards addressing the issue of alcohol addiction is: In adult individuals with alcohol addiction (P), how does the implementation of cognitive-behavioral therapy (CBT) combined with medication-assisted treatment (MAT) (I) compared to CBT alone (C) affect rates of long-term sobriety (O)? In addressing the issue of alcohol addiction, it is significant to implement strategies that enhance self-care regardless of the economic and social challenges that curb the addicts' efforts to access adequate and quality psychological care services.</w:t>
      </w:r>
    </w:p>
    <w:p w:rsidR="008B4E44" w:rsidRPr="00920D12" w:rsidRDefault="008B4E44" w:rsidP="00920D12">
      <w:pPr>
        <w:spacing w:after="0" w:line="480" w:lineRule="auto"/>
        <w:jc w:val="center"/>
        <w:rPr>
          <w:rFonts w:ascii="Times New Roman" w:hAnsi="Times New Roman" w:cs="Times New Roman"/>
          <w:b/>
          <w:sz w:val="24"/>
          <w:szCs w:val="24"/>
        </w:rPr>
      </w:pPr>
      <w:r w:rsidRPr="00920D12">
        <w:rPr>
          <w:rFonts w:ascii="Times New Roman" w:hAnsi="Times New Roman" w:cs="Times New Roman"/>
          <w:b/>
          <w:sz w:val="24"/>
          <w:szCs w:val="24"/>
        </w:rPr>
        <w:t>Translation Science Theory</w:t>
      </w:r>
      <w:r w:rsidR="004A216A" w:rsidRPr="00920D12">
        <w:rPr>
          <w:rFonts w:ascii="Times New Roman" w:hAnsi="Times New Roman" w:cs="Times New Roman"/>
          <w:b/>
          <w:sz w:val="24"/>
          <w:szCs w:val="24"/>
        </w:rPr>
        <w:t>/ Model</w:t>
      </w:r>
    </w:p>
    <w:p w:rsidR="00697F6F" w:rsidRPr="00920D12" w:rsidRDefault="00697F6F" w:rsidP="00920D12">
      <w:pPr>
        <w:spacing w:after="0" w:line="480" w:lineRule="auto"/>
        <w:ind w:firstLine="720"/>
        <w:rPr>
          <w:rFonts w:ascii="Times New Roman" w:hAnsi="Times New Roman" w:cs="Times New Roman"/>
          <w:sz w:val="24"/>
          <w:szCs w:val="24"/>
        </w:rPr>
      </w:pPr>
      <w:r w:rsidRPr="00920D12">
        <w:rPr>
          <w:rFonts w:ascii="Times New Roman" w:hAnsi="Times New Roman" w:cs="Times New Roman"/>
          <w:sz w:val="24"/>
          <w:szCs w:val="24"/>
        </w:rPr>
        <w:t xml:space="preserve">One of the translation science theories that can enhance the implementation of the intervention in the practice setting is the Normalization Process Theory (NPT). </w:t>
      </w:r>
      <w:r w:rsidR="00EE6455" w:rsidRPr="00920D12">
        <w:rPr>
          <w:rFonts w:ascii="Times New Roman" w:hAnsi="Times New Roman" w:cs="Times New Roman"/>
          <w:sz w:val="24"/>
          <w:szCs w:val="24"/>
        </w:rPr>
        <w:t xml:space="preserve">NPT is a sociological theory that offers a structured approach to assess the efficacy of treatments and pinpoint the obstacles that hinder their acceptance (Carter et al., 2023). The NPT framework can be employed during the implementation of an intervention to assist the implementation team </w:t>
      </w:r>
      <w:r w:rsidRPr="00920D12">
        <w:rPr>
          <w:rFonts w:ascii="Times New Roman" w:hAnsi="Times New Roman" w:cs="Times New Roman"/>
          <w:sz w:val="24"/>
          <w:szCs w:val="24"/>
        </w:rPr>
        <w:t xml:space="preserve">describe, assess, and enhance the implementation potential. As such, adopting the NPT to guide the implementation of cognitive-behavioral therapy (CBT) combined with medication-assisted treatment (MAT) will be possible as the NPT will facilitate the identification, characterization, and explanation of the fundamental mechanisms that will promote the implementation of the intervention. </w:t>
      </w:r>
    </w:p>
    <w:p w:rsidR="00697F6F" w:rsidRPr="00920D12" w:rsidRDefault="00697F6F" w:rsidP="00920D12">
      <w:pPr>
        <w:spacing w:after="0" w:line="480" w:lineRule="auto"/>
        <w:ind w:firstLine="720"/>
        <w:rPr>
          <w:rFonts w:ascii="Times New Roman" w:hAnsi="Times New Roman" w:cs="Times New Roman"/>
          <w:sz w:val="24"/>
          <w:szCs w:val="24"/>
        </w:rPr>
      </w:pPr>
      <w:r w:rsidRPr="00920D12">
        <w:rPr>
          <w:rFonts w:ascii="Times New Roman" w:hAnsi="Times New Roman" w:cs="Times New Roman"/>
          <w:sz w:val="24"/>
          <w:szCs w:val="24"/>
        </w:rPr>
        <w:t>The NPT framework co</w:t>
      </w:r>
      <w:r w:rsidR="00B422E7" w:rsidRPr="00920D12">
        <w:rPr>
          <w:rFonts w:ascii="Times New Roman" w:hAnsi="Times New Roman" w:cs="Times New Roman"/>
          <w:sz w:val="24"/>
          <w:szCs w:val="24"/>
        </w:rPr>
        <w:t>mprises</w:t>
      </w:r>
      <w:r w:rsidRPr="00920D12">
        <w:rPr>
          <w:rFonts w:ascii="Times New Roman" w:hAnsi="Times New Roman" w:cs="Times New Roman"/>
          <w:sz w:val="24"/>
          <w:szCs w:val="24"/>
        </w:rPr>
        <w:t xml:space="preserve"> four constructs: Coherence, cognitive participation, collective action, and reflexive monitoring (Carter et al., 2023). These four constructs provide a comprehensive understanding of </w:t>
      </w:r>
      <w:r w:rsidR="00AF0DC2" w:rsidRPr="00920D12">
        <w:rPr>
          <w:rFonts w:ascii="Times New Roman" w:hAnsi="Times New Roman" w:cs="Times New Roman"/>
          <w:sz w:val="24"/>
          <w:szCs w:val="24"/>
        </w:rPr>
        <w:t xml:space="preserve">how new practices can be adopted, executed, and incorporated into regular practice, while equipping healthcare providers with insights to facilitate successful </w:t>
      </w:r>
      <w:r w:rsidR="00AF0DC2" w:rsidRPr="00920D12">
        <w:rPr>
          <w:rFonts w:ascii="Times New Roman" w:hAnsi="Times New Roman" w:cs="Times New Roman"/>
          <w:sz w:val="24"/>
          <w:szCs w:val="24"/>
        </w:rPr>
        <w:lastRenderedPageBreak/>
        <w:t xml:space="preserve">implementation of interventions. The NPT includes a sustainability strategy called the cognitive participation construct, which aims to include and secure the commitment of individuals in adopting new practices. This sustainability approach is important because it promotes the use of tactics that encourage active participation and responsibility among individuals affected by the implementation of the recommended intervention. Facilitating active participation and responsibility for the suggested intervention is crucial for the sustained effectiveness of the evidence-based approach. Directly involving the individuals affected by the implementation of the intervention fosters a feeling of ownership and accountability in ensuring the successful execution of the intervention (Arends et al., 2022). </w:t>
      </w:r>
      <w:r w:rsidRPr="00920D12">
        <w:rPr>
          <w:rFonts w:ascii="Times New Roman" w:hAnsi="Times New Roman" w:cs="Times New Roman"/>
          <w:sz w:val="24"/>
          <w:szCs w:val="24"/>
        </w:rPr>
        <w:t xml:space="preserve">Involvement in the intervention-related decision-making and implementation process </w:t>
      </w:r>
      <w:r w:rsidR="000661AF" w:rsidRPr="00920D12">
        <w:rPr>
          <w:rFonts w:ascii="Times New Roman" w:hAnsi="Times New Roman" w:cs="Times New Roman"/>
          <w:sz w:val="24"/>
          <w:szCs w:val="24"/>
        </w:rPr>
        <w:t>enhances dedication to its successful execution and fosters ongoing improvement and innovation</w:t>
      </w:r>
      <w:r w:rsidRPr="00920D12">
        <w:rPr>
          <w:rFonts w:ascii="Times New Roman" w:hAnsi="Times New Roman" w:cs="Times New Roman"/>
          <w:sz w:val="24"/>
          <w:szCs w:val="24"/>
        </w:rPr>
        <w:t xml:space="preserve">. As such, this sustainability strategy will be significant in strengthening the sustainability of the evidence-based intervention by fostering a sense of collective responsibility and ownership among the staff, thereby enhancing its successful integration into routine practice. </w:t>
      </w:r>
    </w:p>
    <w:p w:rsidR="0014633C" w:rsidRPr="00920D12" w:rsidRDefault="0014633C" w:rsidP="00920D12">
      <w:pPr>
        <w:spacing w:after="0" w:line="480" w:lineRule="auto"/>
        <w:jc w:val="center"/>
        <w:rPr>
          <w:rFonts w:ascii="Times New Roman" w:hAnsi="Times New Roman" w:cs="Times New Roman"/>
          <w:b/>
          <w:sz w:val="24"/>
          <w:szCs w:val="24"/>
        </w:rPr>
      </w:pPr>
      <w:r w:rsidRPr="00920D12">
        <w:rPr>
          <w:rFonts w:ascii="Times New Roman" w:hAnsi="Times New Roman" w:cs="Times New Roman"/>
          <w:b/>
          <w:sz w:val="24"/>
          <w:szCs w:val="24"/>
        </w:rPr>
        <w:t>Conclusion</w:t>
      </w:r>
    </w:p>
    <w:p w:rsidR="0014633C" w:rsidRPr="00920D12" w:rsidRDefault="0014633C" w:rsidP="00920D12">
      <w:pPr>
        <w:spacing w:after="0" w:line="480" w:lineRule="auto"/>
        <w:ind w:firstLine="720"/>
        <w:rPr>
          <w:rFonts w:ascii="Times New Roman" w:hAnsi="Times New Roman" w:cs="Times New Roman"/>
          <w:sz w:val="24"/>
          <w:szCs w:val="24"/>
        </w:rPr>
      </w:pPr>
      <w:r w:rsidRPr="00920D12">
        <w:rPr>
          <w:rFonts w:ascii="Times New Roman" w:hAnsi="Times New Roman" w:cs="Times New Roman"/>
          <w:sz w:val="24"/>
          <w:szCs w:val="24"/>
        </w:rPr>
        <w:t xml:space="preserve">Conclusively, alcoholism has been identified as a significant community health problem affecting diverse community members and the priority community members to a greater length. </w:t>
      </w:r>
      <w:r w:rsidR="00235E76" w:rsidRPr="00920D12">
        <w:rPr>
          <w:rFonts w:ascii="Times New Roman" w:hAnsi="Times New Roman" w:cs="Times New Roman"/>
          <w:sz w:val="24"/>
          <w:szCs w:val="24"/>
        </w:rPr>
        <w:t xml:space="preserve">Alcoholism has detrimental effects on the individual's health and also has bad consequences on the family, community, and the entire country. This is due to decreased productivity and an increased cost strain on healthcare services. This necessitates the development and implementation of a potent intervention to mitigate AUDs in primary care settings within the community. It is concerning that, despite the availability of various evidence-based remedies for alcoholism, such as pharmacotherapeutic methods, the prevalence of the problem remains high. </w:t>
      </w:r>
      <w:r w:rsidRPr="00920D12">
        <w:rPr>
          <w:rFonts w:ascii="Times New Roman" w:hAnsi="Times New Roman" w:cs="Times New Roman"/>
          <w:sz w:val="24"/>
          <w:szCs w:val="24"/>
        </w:rPr>
        <w:lastRenderedPageBreak/>
        <w:t xml:space="preserve">The examined research studies noted that there exist numerous barriers that contribute to the inaccessibility of proactive coping and treatment interventions, including the perceived high cost of therapy and fear that clinicians may invalidate or fail to understand unique client-specific needs (Malone et al., 2019; Cerezo et al., 2020; Collins et al., 2021). As such, in addressing this problem, there is a need for the involvement of interprofessional stakeholders that will facilitate the designing and implementation of effective interventions directed towards addressing the issue of alcoholism among the priority populations. </w:t>
      </w:r>
      <w:r w:rsidR="00235E76" w:rsidRPr="00920D12">
        <w:rPr>
          <w:rFonts w:ascii="Times New Roman" w:hAnsi="Times New Roman" w:cs="Times New Roman"/>
          <w:sz w:val="24"/>
          <w:szCs w:val="24"/>
        </w:rPr>
        <w:t>The NPT framework can be employed to guide the implementation of cognitive-behavioral therapy (CBT) combined with medication-assisted treatment (MAT) will be possible as the NPT will facilitate the identification, characterization, and explanation of the fundamental mechanisms that will promote the implementation of the intervention.</w:t>
      </w: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E13C05" w:rsidRDefault="00E13C05"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sz w:val="24"/>
          <w:szCs w:val="24"/>
        </w:rPr>
      </w:pPr>
      <w:r w:rsidRPr="00920D12">
        <w:rPr>
          <w:rFonts w:ascii="Times New Roman" w:hAnsi="Times New Roman" w:cs="Times New Roman"/>
          <w:b/>
          <w:sz w:val="24"/>
          <w:szCs w:val="24"/>
        </w:rPr>
        <w:lastRenderedPageBreak/>
        <w:t>References</w:t>
      </w:r>
    </w:p>
    <w:p w:rsidR="00262F69" w:rsidRPr="00920D12" w:rsidRDefault="00262F69" w:rsidP="00920D12">
      <w:pPr>
        <w:spacing w:after="0" w:line="480" w:lineRule="auto"/>
        <w:ind w:left="720" w:hanging="720"/>
        <w:rPr>
          <w:rFonts w:ascii="Times New Roman" w:hAnsi="Times New Roman" w:cs="Times New Roman"/>
          <w:sz w:val="24"/>
          <w:szCs w:val="24"/>
        </w:rPr>
      </w:pPr>
      <w:r w:rsidRPr="00920D12">
        <w:rPr>
          <w:rFonts w:ascii="Times New Roman" w:hAnsi="Times New Roman" w:cs="Times New Roman"/>
          <w:sz w:val="24"/>
          <w:szCs w:val="24"/>
        </w:rPr>
        <w:t>Arends, S. A. M., Thodé, M., De Veer, A. J. E., Pasman, H. R. W., Francke, A. L., &amp; Jongerden, I. P. (2022). Nurses' perspective on their involvement in decision-making about life-prolonging treatments: A quantitative survey study. </w:t>
      </w:r>
      <w:r w:rsidRPr="00920D12">
        <w:rPr>
          <w:rFonts w:ascii="Times New Roman" w:hAnsi="Times New Roman" w:cs="Times New Roman"/>
          <w:i/>
          <w:iCs/>
          <w:sz w:val="24"/>
          <w:szCs w:val="24"/>
        </w:rPr>
        <w:t xml:space="preserve">Journal of </w:t>
      </w:r>
      <w:r w:rsidR="00B422E7" w:rsidRPr="00920D12">
        <w:rPr>
          <w:rFonts w:ascii="Times New Roman" w:hAnsi="Times New Roman" w:cs="Times New Roman"/>
          <w:i/>
          <w:iCs/>
          <w:sz w:val="24"/>
          <w:szCs w:val="24"/>
        </w:rPr>
        <w:t>Advanced N</w:t>
      </w:r>
      <w:r w:rsidRPr="00920D12">
        <w:rPr>
          <w:rFonts w:ascii="Times New Roman" w:hAnsi="Times New Roman" w:cs="Times New Roman"/>
          <w:i/>
          <w:iCs/>
          <w:sz w:val="24"/>
          <w:szCs w:val="24"/>
        </w:rPr>
        <w:t>ursing</w:t>
      </w:r>
      <w:r w:rsidRPr="00920D12">
        <w:rPr>
          <w:rFonts w:ascii="Times New Roman" w:hAnsi="Times New Roman" w:cs="Times New Roman"/>
          <w:sz w:val="24"/>
          <w:szCs w:val="24"/>
        </w:rPr>
        <w:t>, </w:t>
      </w:r>
      <w:r w:rsidRPr="00920D12">
        <w:rPr>
          <w:rFonts w:ascii="Times New Roman" w:hAnsi="Times New Roman" w:cs="Times New Roman"/>
          <w:i/>
          <w:iCs/>
          <w:sz w:val="24"/>
          <w:szCs w:val="24"/>
        </w:rPr>
        <w:t>78</w:t>
      </w:r>
      <w:r w:rsidRPr="00920D12">
        <w:rPr>
          <w:rFonts w:ascii="Times New Roman" w:hAnsi="Times New Roman" w:cs="Times New Roman"/>
          <w:sz w:val="24"/>
          <w:szCs w:val="24"/>
        </w:rPr>
        <w:t xml:space="preserve">(9), 2884–2893. </w:t>
      </w:r>
      <w:hyperlink r:id="rId6" w:history="1">
        <w:r w:rsidRPr="00920D12">
          <w:rPr>
            <w:rStyle w:val="Hyperlink"/>
            <w:rFonts w:ascii="Times New Roman" w:hAnsi="Times New Roman" w:cs="Times New Roman"/>
            <w:sz w:val="24"/>
            <w:szCs w:val="24"/>
          </w:rPr>
          <w:t>https://doi.org/10.1111/jan.15223</w:t>
        </w:r>
      </w:hyperlink>
      <w:r w:rsidRPr="00920D12">
        <w:rPr>
          <w:rFonts w:ascii="Times New Roman" w:hAnsi="Times New Roman" w:cs="Times New Roman"/>
          <w:sz w:val="24"/>
          <w:szCs w:val="24"/>
        </w:rPr>
        <w:t xml:space="preserve"> </w:t>
      </w:r>
    </w:p>
    <w:p w:rsidR="00262F69" w:rsidRPr="00920D12" w:rsidRDefault="00262F69" w:rsidP="00920D12">
      <w:pPr>
        <w:spacing w:after="0" w:line="480" w:lineRule="auto"/>
        <w:ind w:left="720" w:hanging="720"/>
        <w:rPr>
          <w:rFonts w:ascii="Times New Roman" w:hAnsi="Times New Roman" w:cs="Times New Roman"/>
          <w:color w:val="212121"/>
          <w:sz w:val="24"/>
          <w:szCs w:val="24"/>
          <w:shd w:val="clear" w:color="auto" w:fill="FFFFFF"/>
        </w:rPr>
      </w:pPr>
      <w:r w:rsidRPr="00920D12">
        <w:rPr>
          <w:rFonts w:ascii="Times New Roman" w:hAnsi="Times New Roman" w:cs="Times New Roman"/>
          <w:color w:val="212121"/>
          <w:sz w:val="24"/>
          <w:szCs w:val="24"/>
          <w:shd w:val="clear" w:color="auto" w:fill="FFFFFF"/>
        </w:rPr>
        <w:t>Branjerdporn, G., Gillespie, K. M., Dymond, A., Reyes, N. J. D., Robertson, J., Almeida-Crasto, A., &amp; Bethi, S. (2023). Development of an Interprofessional Psychosocial Interventions Framework. </w:t>
      </w:r>
      <w:r w:rsidRPr="00920D12">
        <w:rPr>
          <w:rFonts w:ascii="Times New Roman" w:hAnsi="Times New Roman" w:cs="Times New Roman"/>
          <w:i/>
          <w:iCs/>
          <w:color w:val="212121"/>
          <w:sz w:val="24"/>
          <w:szCs w:val="24"/>
          <w:shd w:val="clear" w:color="auto" w:fill="FFFFFF"/>
        </w:rPr>
        <w:t>International journal of environmental research and public health</w:t>
      </w:r>
      <w:r w:rsidRPr="00920D12">
        <w:rPr>
          <w:rFonts w:ascii="Times New Roman" w:hAnsi="Times New Roman" w:cs="Times New Roman"/>
          <w:color w:val="212121"/>
          <w:sz w:val="24"/>
          <w:szCs w:val="24"/>
          <w:shd w:val="clear" w:color="auto" w:fill="FFFFFF"/>
        </w:rPr>
        <w:t>, </w:t>
      </w:r>
      <w:r w:rsidRPr="00920D12">
        <w:rPr>
          <w:rFonts w:ascii="Times New Roman" w:hAnsi="Times New Roman" w:cs="Times New Roman"/>
          <w:i/>
          <w:iCs/>
          <w:color w:val="212121"/>
          <w:sz w:val="24"/>
          <w:szCs w:val="24"/>
          <w:shd w:val="clear" w:color="auto" w:fill="FFFFFF"/>
        </w:rPr>
        <w:t>20</w:t>
      </w:r>
      <w:r w:rsidRPr="00920D12">
        <w:rPr>
          <w:rFonts w:ascii="Times New Roman" w:hAnsi="Times New Roman" w:cs="Times New Roman"/>
          <w:color w:val="212121"/>
          <w:sz w:val="24"/>
          <w:szCs w:val="24"/>
          <w:shd w:val="clear" w:color="auto" w:fill="FFFFFF"/>
        </w:rPr>
        <w:t xml:space="preserve">(8), 5495. </w:t>
      </w:r>
      <w:hyperlink r:id="rId7" w:history="1">
        <w:r w:rsidRPr="00920D12">
          <w:rPr>
            <w:rStyle w:val="Hyperlink"/>
            <w:rFonts w:ascii="Times New Roman" w:hAnsi="Times New Roman" w:cs="Times New Roman"/>
            <w:sz w:val="24"/>
            <w:szCs w:val="24"/>
            <w:shd w:val="clear" w:color="auto" w:fill="FFFFFF"/>
          </w:rPr>
          <w:t>https://doi.org/10.3390/ijerph20085495</w:t>
        </w:r>
      </w:hyperlink>
      <w:r w:rsidRPr="00920D12">
        <w:rPr>
          <w:rFonts w:ascii="Times New Roman" w:hAnsi="Times New Roman" w:cs="Times New Roman"/>
          <w:color w:val="212121"/>
          <w:sz w:val="24"/>
          <w:szCs w:val="24"/>
          <w:shd w:val="clear" w:color="auto" w:fill="FFFFFF"/>
        </w:rPr>
        <w:t xml:space="preserve"> </w:t>
      </w:r>
    </w:p>
    <w:p w:rsidR="00262F69" w:rsidRPr="00920D12" w:rsidRDefault="00262F69" w:rsidP="00920D12">
      <w:pPr>
        <w:spacing w:after="0" w:line="480" w:lineRule="auto"/>
        <w:ind w:left="720" w:hanging="720"/>
        <w:rPr>
          <w:rFonts w:ascii="Times New Roman" w:hAnsi="Times New Roman" w:cs="Times New Roman"/>
          <w:color w:val="212121"/>
          <w:sz w:val="24"/>
          <w:szCs w:val="24"/>
          <w:shd w:val="clear" w:color="auto" w:fill="FFFFFF"/>
        </w:rPr>
      </w:pPr>
      <w:r w:rsidRPr="00920D12">
        <w:rPr>
          <w:rFonts w:ascii="Times New Roman" w:hAnsi="Times New Roman" w:cs="Times New Roman"/>
          <w:sz w:val="24"/>
          <w:szCs w:val="24"/>
        </w:rPr>
        <w:t>Carter, H., Beard, D., Harvey, A., Leighton, P., Moffatt, F., Smith, B., Webster, K., &amp; Logan, P. (2023). Using normali</w:t>
      </w:r>
      <w:r w:rsidR="00B422E7" w:rsidRPr="00920D12">
        <w:rPr>
          <w:rFonts w:ascii="Times New Roman" w:hAnsi="Times New Roman" w:cs="Times New Roman"/>
          <w:sz w:val="24"/>
          <w:szCs w:val="24"/>
        </w:rPr>
        <w:t>z</w:t>
      </w:r>
      <w:r w:rsidRPr="00920D12">
        <w:rPr>
          <w:rFonts w:ascii="Times New Roman" w:hAnsi="Times New Roman" w:cs="Times New Roman"/>
          <w:sz w:val="24"/>
          <w:szCs w:val="24"/>
        </w:rPr>
        <w:t>ation process theory for intervention development, implementation and refinement in musculoskeletal and orthopedic interventions: a qualitative systematic review. </w:t>
      </w:r>
      <w:r w:rsidRPr="00920D12">
        <w:rPr>
          <w:rFonts w:ascii="Times New Roman" w:hAnsi="Times New Roman" w:cs="Times New Roman"/>
          <w:i/>
          <w:iCs/>
          <w:sz w:val="24"/>
          <w:szCs w:val="24"/>
        </w:rPr>
        <w:t>Implementation science communications</w:t>
      </w:r>
      <w:r w:rsidRPr="00920D12">
        <w:rPr>
          <w:rFonts w:ascii="Times New Roman" w:hAnsi="Times New Roman" w:cs="Times New Roman"/>
          <w:sz w:val="24"/>
          <w:szCs w:val="24"/>
        </w:rPr>
        <w:t>, </w:t>
      </w:r>
      <w:r w:rsidRPr="00920D12">
        <w:rPr>
          <w:rFonts w:ascii="Times New Roman" w:hAnsi="Times New Roman" w:cs="Times New Roman"/>
          <w:i/>
          <w:iCs/>
          <w:sz w:val="24"/>
          <w:szCs w:val="24"/>
        </w:rPr>
        <w:t>4</w:t>
      </w:r>
      <w:r w:rsidRPr="00920D12">
        <w:rPr>
          <w:rFonts w:ascii="Times New Roman" w:hAnsi="Times New Roman" w:cs="Times New Roman"/>
          <w:sz w:val="24"/>
          <w:szCs w:val="24"/>
        </w:rPr>
        <w:t xml:space="preserve">(1), 114. </w:t>
      </w:r>
      <w:hyperlink r:id="rId8" w:history="1">
        <w:r w:rsidRPr="00920D12">
          <w:rPr>
            <w:rStyle w:val="Hyperlink"/>
            <w:rFonts w:ascii="Times New Roman" w:hAnsi="Times New Roman" w:cs="Times New Roman"/>
            <w:sz w:val="24"/>
            <w:szCs w:val="24"/>
          </w:rPr>
          <w:t>https://doi.org/10.1186/s43058-023-00499-z</w:t>
        </w:r>
      </w:hyperlink>
    </w:p>
    <w:p w:rsidR="0014633C" w:rsidRPr="00920D12" w:rsidRDefault="0014633C" w:rsidP="00920D12">
      <w:pPr>
        <w:spacing w:after="0" w:line="480" w:lineRule="auto"/>
        <w:ind w:left="720" w:hanging="720"/>
        <w:rPr>
          <w:rFonts w:ascii="Times New Roman" w:hAnsi="Times New Roman" w:cs="Times New Roman"/>
          <w:sz w:val="24"/>
          <w:szCs w:val="24"/>
        </w:rPr>
      </w:pPr>
      <w:r w:rsidRPr="00920D12">
        <w:rPr>
          <w:rFonts w:ascii="Times New Roman" w:hAnsi="Times New Roman" w:cs="Times New Roman"/>
          <w:sz w:val="24"/>
          <w:szCs w:val="24"/>
          <w:shd w:val="clear" w:color="auto" w:fill="FFFFFF"/>
        </w:rPr>
        <w:t>Cerezo, A., Williams, C., Cummings, M., Ching, D., &amp; Holmes, M. (2020). Minority stress and drinking: Connecting race, gender identity and sexual orientation. </w:t>
      </w:r>
      <w:r w:rsidRPr="00920D12">
        <w:rPr>
          <w:rFonts w:ascii="Times New Roman" w:hAnsi="Times New Roman" w:cs="Times New Roman"/>
          <w:i/>
          <w:iCs/>
          <w:sz w:val="24"/>
          <w:szCs w:val="24"/>
          <w:shd w:val="clear" w:color="auto" w:fill="FFFFFF"/>
        </w:rPr>
        <w:t>The Counseling Psychologist</w:t>
      </w:r>
      <w:r w:rsidRPr="00920D12">
        <w:rPr>
          <w:rFonts w:ascii="Times New Roman" w:hAnsi="Times New Roman" w:cs="Times New Roman"/>
          <w:sz w:val="24"/>
          <w:szCs w:val="24"/>
          <w:shd w:val="clear" w:color="auto" w:fill="FFFFFF"/>
        </w:rPr>
        <w:t>, </w:t>
      </w:r>
      <w:r w:rsidRPr="00920D12">
        <w:rPr>
          <w:rFonts w:ascii="Times New Roman" w:hAnsi="Times New Roman" w:cs="Times New Roman"/>
          <w:i/>
          <w:iCs/>
          <w:sz w:val="24"/>
          <w:szCs w:val="24"/>
          <w:shd w:val="clear" w:color="auto" w:fill="FFFFFF"/>
        </w:rPr>
        <w:t>48</w:t>
      </w:r>
      <w:r w:rsidRPr="00920D12">
        <w:rPr>
          <w:rFonts w:ascii="Times New Roman" w:hAnsi="Times New Roman" w:cs="Times New Roman"/>
          <w:sz w:val="24"/>
          <w:szCs w:val="24"/>
          <w:shd w:val="clear" w:color="auto" w:fill="FFFFFF"/>
        </w:rPr>
        <w:t xml:space="preserve">(2), 277-303. </w:t>
      </w:r>
      <w:hyperlink r:id="rId9" w:history="1">
        <w:r w:rsidRPr="00920D12">
          <w:rPr>
            <w:rStyle w:val="Hyperlink"/>
            <w:rFonts w:ascii="Times New Roman" w:hAnsi="Times New Roman" w:cs="Times New Roman"/>
            <w:sz w:val="24"/>
            <w:szCs w:val="24"/>
            <w:shd w:val="clear" w:color="auto" w:fill="FFFFFF"/>
          </w:rPr>
          <w:t>https://doi.org/10.1177/0011000019887493</w:t>
        </w:r>
      </w:hyperlink>
      <w:r w:rsidRPr="00920D12">
        <w:rPr>
          <w:rFonts w:ascii="Times New Roman" w:hAnsi="Times New Roman" w:cs="Times New Roman"/>
          <w:sz w:val="24"/>
          <w:szCs w:val="24"/>
          <w:shd w:val="clear" w:color="auto" w:fill="FFFFFF"/>
        </w:rPr>
        <w:t xml:space="preserve"> </w:t>
      </w:r>
    </w:p>
    <w:p w:rsidR="0014633C" w:rsidRPr="00920D12" w:rsidRDefault="0014633C" w:rsidP="00920D12">
      <w:pPr>
        <w:spacing w:after="0" w:line="480" w:lineRule="auto"/>
        <w:ind w:left="720" w:hanging="720"/>
        <w:rPr>
          <w:rFonts w:ascii="Times New Roman" w:hAnsi="Times New Roman" w:cs="Times New Roman"/>
          <w:color w:val="212121"/>
          <w:sz w:val="24"/>
          <w:szCs w:val="24"/>
          <w:shd w:val="clear" w:color="auto" w:fill="FFFFFF"/>
        </w:rPr>
      </w:pPr>
      <w:r w:rsidRPr="00920D12">
        <w:rPr>
          <w:rFonts w:ascii="Times New Roman" w:hAnsi="Times New Roman" w:cs="Times New Roman"/>
          <w:color w:val="212121"/>
          <w:sz w:val="24"/>
          <w:szCs w:val="24"/>
          <w:shd w:val="clear" w:color="auto" w:fill="FFFFFF"/>
        </w:rPr>
        <w:t>Collins S. E. (2016). Associations Between Socioeconomic Factors and Alcohol Outcomes. </w:t>
      </w:r>
      <w:r w:rsidRPr="00920D12">
        <w:rPr>
          <w:rFonts w:ascii="Times New Roman" w:hAnsi="Times New Roman" w:cs="Times New Roman"/>
          <w:i/>
          <w:iCs/>
          <w:color w:val="212121"/>
          <w:sz w:val="24"/>
          <w:szCs w:val="24"/>
          <w:shd w:val="clear" w:color="auto" w:fill="FFFFFF"/>
        </w:rPr>
        <w:t>Alcohol research: current reviews</w:t>
      </w:r>
      <w:r w:rsidRPr="00920D12">
        <w:rPr>
          <w:rFonts w:ascii="Times New Roman" w:hAnsi="Times New Roman" w:cs="Times New Roman"/>
          <w:color w:val="212121"/>
          <w:sz w:val="24"/>
          <w:szCs w:val="24"/>
          <w:shd w:val="clear" w:color="auto" w:fill="FFFFFF"/>
        </w:rPr>
        <w:t>, </w:t>
      </w:r>
      <w:r w:rsidRPr="00920D12">
        <w:rPr>
          <w:rFonts w:ascii="Times New Roman" w:hAnsi="Times New Roman" w:cs="Times New Roman"/>
          <w:i/>
          <w:iCs/>
          <w:color w:val="212121"/>
          <w:sz w:val="24"/>
          <w:szCs w:val="24"/>
          <w:shd w:val="clear" w:color="auto" w:fill="FFFFFF"/>
        </w:rPr>
        <w:t>38</w:t>
      </w:r>
      <w:r w:rsidRPr="00920D12">
        <w:rPr>
          <w:rFonts w:ascii="Times New Roman" w:hAnsi="Times New Roman" w:cs="Times New Roman"/>
          <w:color w:val="212121"/>
          <w:sz w:val="24"/>
          <w:szCs w:val="24"/>
          <w:shd w:val="clear" w:color="auto" w:fill="FFFFFF"/>
        </w:rPr>
        <w:t xml:space="preserve">(1), 83–94. Retrieved from </w:t>
      </w:r>
      <w:hyperlink r:id="rId10" w:history="1">
        <w:r w:rsidRPr="00920D12">
          <w:rPr>
            <w:rStyle w:val="Hyperlink"/>
            <w:rFonts w:ascii="Times New Roman" w:hAnsi="Times New Roman" w:cs="Times New Roman"/>
            <w:sz w:val="24"/>
            <w:szCs w:val="24"/>
            <w:shd w:val="clear" w:color="auto" w:fill="FFFFFF"/>
          </w:rPr>
          <w:t>https://www.ncbi.nlm.nih.gov/pmc/articles/PMC4872618/</w:t>
        </w:r>
      </w:hyperlink>
      <w:r w:rsidRPr="00920D12">
        <w:rPr>
          <w:rFonts w:ascii="Times New Roman" w:hAnsi="Times New Roman" w:cs="Times New Roman"/>
          <w:color w:val="212121"/>
          <w:sz w:val="24"/>
          <w:szCs w:val="24"/>
          <w:shd w:val="clear" w:color="auto" w:fill="FFFFFF"/>
        </w:rPr>
        <w:t xml:space="preserve"> </w:t>
      </w:r>
    </w:p>
    <w:p w:rsidR="0014633C" w:rsidRPr="00920D12" w:rsidRDefault="0014633C" w:rsidP="00920D12">
      <w:pPr>
        <w:spacing w:after="0" w:line="480" w:lineRule="auto"/>
        <w:ind w:left="720" w:hanging="720"/>
        <w:rPr>
          <w:rFonts w:ascii="Times New Roman" w:hAnsi="Times New Roman" w:cs="Times New Roman"/>
          <w:sz w:val="24"/>
          <w:szCs w:val="24"/>
          <w:shd w:val="clear" w:color="auto" w:fill="FFFFFF"/>
        </w:rPr>
      </w:pPr>
      <w:r w:rsidRPr="00920D12">
        <w:rPr>
          <w:rFonts w:ascii="Times New Roman" w:hAnsi="Times New Roman" w:cs="Times New Roman"/>
          <w:bCs/>
          <w:sz w:val="24"/>
          <w:szCs w:val="24"/>
        </w:rPr>
        <w:t xml:space="preserve">Collins, S. E., Duncan, M. H., Saxon, A. J., Taylor, E. M., Mayberry, N., Merrill, J. O., Hoffmann, G. E., Clifasefi, S.L., &amp; Ries, R. K. (2021). Combining behavioral harm-reduction treatment and extended-release naltrexone for people experiencing </w:t>
      </w:r>
      <w:r w:rsidRPr="00920D12">
        <w:rPr>
          <w:rFonts w:ascii="Times New Roman" w:hAnsi="Times New Roman" w:cs="Times New Roman"/>
          <w:bCs/>
          <w:sz w:val="24"/>
          <w:szCs w:val="24"/>
        </w:rPr>
        <w:lastRenderedPageBreak/>
        <w:t xml:space="preserve">homelessness and alcohol use disorder in the USA: </w:t>
      </w:r>
      <w:r w:rsidRPr="00920D12">
        <w:rPr>
          <w:rFonts w:ascii="Times New Roman" w:hAnsi="Times New Roman" w:cs="Times New Roman"/>
          <w:bCs/>
          <w:i/>
          <w:sz w:val="24"/>
          <w:szCs w:val="24"/>
        </w:rPr>
        <w:t>a randomized clinical trial. The Lancet Psychiatry</w:t>
      </w:r>
      <w:r w:rsidRPr="00920D12">
        <w:rPr>
          <w:rFonts w:ascii="Times New Roman" w:hAnsi="Times New Roman" w:cs="Times New Roman"/>
          <w:bCs/>
          <w:sz w:val="24"/>
          <w:szCs w:val="24"/>
        </w:rPr>
        <w:t xml:space="preserve">, 8(4), 287-300. </w:t>
      </w:r>
      <w:hyperlink r:id="rId11" w:history="1">
        <w:r w:rsidRPr="00920D12">
          <w:rPr>
            <w:rStyle w:val="Hyperlink"/>
            <w:rFonts w:ascii="Times New Roman" w:hAnsi="Times New Roman" w:cs="Times New Roman"/>
            <w:bCs/>
            <w:sz w:val="24"/>
            <w:szCs w:val="24"/>
          </w:rPr>
          <w:t>https://doi.org/10.1016/S2215-0366(20)30489-2</w:t>
        </w:r>
      </w:hyperlink>
      <w:r w:rsidRPr="00920D12">
        <w:rPr>
          <w:rFonts w:ascii="Times New Roman" w:hAnsi="Times New Roman" w:cs="Times New Roman"/>
          <w:bCs/>
          <w:sz w:val="24"/>
          <w:szCs w:val="24"/>
        </w:rPr>
        <w:t xml:space="preserve"> </w:t>
      </w:r>
    </w:p>
    <w:p w:rsidR="0014633C" w:rsidRPr="00920D12" w:rsidRDefault="0014633C" w:rsidP="00920D12">
      <w:pPr>
        <w:spacing w:after="0" w:line="480" w:lineRule="auto"/>
        <w:ind w:left="720" w:hanging="720"/>
        <w:rPr>
          <w:rFonts w:ascii="Times New Roman" w:hAnsi="Times New Roman" w:cs="Times New Roman"/>
          <w:sz w:val="24"/>
          <w:szCs w:val="24"/>
          <w:shd w:val="clear" w:color="auto" w:fill="FFFFFF"/>
        </w:rPr>
      </w:pPr>
      <w:r w:rsidRPr="00920D12">
        <w:rPr>
          <w:rFonts w:ascii="Times New Roman" w:hAnsi="Times New Roman" w:cs="Times New Roman"/>
          <w:sz w:val="24"/>
          <w:szCs w:val="24"/>
          <w:shd w:val="clear" w:color="auto" w:fill="FFFFFF"/>
        </w:rPr>
        <w:t>Dang, D., Dearholt, S. L., Bissett, K., Ascenzi, J., &amp; Whalen, M. (2021). </w:t>
      </w:r>
      <w:r w:rsidRPr="00920D12">
        <w:rPr>
          <w:rFonts w:ascii="Times New Roman" w:hAnsi="Times New Roman" w:cs="Times New Roman"/>
          <w:i/>
          <w:iCs/>
          <w:sz w:val="24"/>
          <w:szCs w:val="24"/>
          <w:shd w:val="clear" w:color="auto" w:fill="FFFFFF"/>
        </w:rPr>
        <w:t>Johns Hopkins evidence-based practice for nurses and healthcare professionals: Model and guidelines</w:t>
      </w:r>
      <w:r w:rsidRPr="00920D12">
        <w:rPr>
          <w:rFonts w:ascii="Times New Roman" w:hAnsi="Times New Roman" w:cs="Times New Roman"/>
          <w:sz w:val="24"/>
          <w:szCs w:val="24"/>
          <w:shd w:val="clear" w:color="auto" w:fill="FFFFFF"/>
        </w:rPr>
        <w:t>. Sigma Theta Tau.</w:t>
      </w:r>
    </w:p>
    <w:p w:rsidR="0014633C" w:rsidRPr="00920D12" w:rsidRDefault="0014633C" w:rsidP="00920D12">
      <w:pPr>
        <w:spacing w:after="0" w:line="480" w:lineRule="auto"/>
        <w:ind w:left="720" w:hanging="720"/>
        <w:rPr>
          <w:rFonts w:ascii="Times New Roman" w:hAnsi="Times New Roman" w:cs="Times New Roman"/>
          <w:sz w:val="24"/>
          <w:szCs w:val="24"/>
        </w:rPr>
      </w:pPr>
      <w:r w:rsidRPr="00920D12">
        <w:rPr>
          <w:rFonts w:ascii="Times New Roman" w:hAnsi="Times New Roman" w:cs="Times New Roman"/>
          <w:sz w:val="24"/>
          <w:szCs w:val="24"/>
        </w:rPr>
        <w:t>Magill, M., Ray, L., Kiluk, B., Hoadley, A., Bernstein, M., Tonigan, J. S., &amp; Carroll, K. (2019). A meta-analysis of cognitive-behavioral therapy for alcohol or other drug use disorders: Treatment efficacy by contrast condition. </w:t>
      </w:r>
      <w:r w:rsidRPr="00920D12">
        <w:rPr>
          <w:rFonts w:ascii="Times New Roman" w:hAnsi="Times New Roman" w:cs="Times New Roman"/>
          <w:i/>
          <w:iCs/>
          <w:sz w:val="24"/>
          <w:szCs w:val="24"/>
        </w:rPr>
        <w:t>Journal of consulting and clinical psychology</w:t>
      </w:r>
      <w:r w:rsidRPr="00920D12">
        <w:rPr>
          <w:rFonts w:ascii="Times New Roman" w:hAnsi="Times New Roman" w:cs="Times New Roman"/>
          <w:sz w:val="24"/>
          <w:szCs w:val="24"/>
        </w:rPr>
        <w:t>, </w:t>
      </w:r>
      <w:r w:rsidRPr="00920D12">
        <w:rPr>
          <w:rFonts w:ascii="Times New Roman" w:hAnsi="Times New Roman" w:cs="Times New Roman"/>
          <w:i/>
          <w:iCs/>
          <w:sz w:val="24"/>
          <w:szCs w:val="24"/>
        </w:rPr>
        <w:t>87</w:t>
      </w:r>
      <w:r w:rsidRPr="00920D12">
        <w:rPr>
          <w:rFonts w:ascii="Times New Roman" w:hAnsi="Times New Roman" w:cs="Times New Roman"/>
          <w:sz w:val="24"/>
          <w:szCs w:val="24"/>
        </w:rPr>
        <w:t xml:space="preserve">(12), 1093–1105. </w:t>
      </w:r>
      <w:hyperlink r:id="rId12" w:history="1">
        <w:r w:rsidRPr="00920D12">
          <w:rPr>
            <w:rStyle w:val="Hyperlink"/>
            <w:rFonts w:ascii="Times New Roman" w:hAnsi="Times New Roman" w:cs="Times New Roman"/>
            <w:sz w:val="24"/>
            <w:szCs w:val="24"/>
          </w:rPr>
          <w:t>https://doi.org/10.1037/ccp0000447</w:t>
        </w:r>
      </w:hyperlink>
      <w:r w:rsidRPr="00920D12">
        <w:rPr>
          <w:rFonts w:ascii="Times New Roman" w:hAnsi="Times New Roman" w:cs="Times New Roman"/>
          <w:sz w:val="24"/>
          <w:szCs w:val="24"/>
        </w:rPr>
        <w:t xml:space="preserve"> </w:t>
      </w:r>
    </w:p>
    <w:p w:rsidR="0014633C" w:rsidRPr="00920D12" w:rsidRDefault="0014633C" w:rsidP="00920D12">
      <w:pPr>
        <w:spacing w:after="0" w:line="480" w:lineRule="auto"/>
        <w:ind w:left="720" w:hanging="720"/>
        <w:rPr>
          <w:rFonts w:ascii="Times New Roman" w:hAnsi="Times New Roman" w:cs="Times New Roman"/>
          <w:sz w:val="24"/>
          <w:szCs w:val="24"/>
          <w:shd w:val="clear" w:color="auto" w:fill="FFFFFF"/>
        </w:rPr>
      </w:pPr>
      <w:r w:rsidRPr="00920D12">
        <w:rPr>
          <w:rFonts w:ascii="Times New Roman" w:hAnsi="Times New Roman" w:cs="Times New Roman"/>
          <w:sz w:val="24"/>
          <w:szCs w:val="24"/>
          <w:shd w:val="clear" w:color="auto" w:fill="FFFFFF"/>
        </w:rPr>
        <w:t>Malone, M., McDonald, R., Vittitow, A., Chen, J., Obi, R., Schatz, D., ... &amp; Lee, J. D. (2019). Extended-release vs. oral naltrexone for alcohol dependence treatment in primary care (XON). </w:t>
      </w:r>
      <w:r w:rsidRPr="00920D12">
        <w:rPr>
          <w:rFonts w:ascii="Times New Roman" w:hAnsi="Times New Roman" w:cs="Times New Roman"/>
          <w:i/>
          <w:iCs/>
          <w:sz w:val="24"/>
          <w:szCs w:val="24"/>
          <w:shd w:val="clear" w:color="auto" w:fill="FFFFFF"/>
        </w:rPr>
        <w:t>Contemporary Clinical Trials</w:t>
      </w:r>
      <w:r w:rsidRPr="00920D12">
        <w:rPr>
          <w:rFonts w:ascii="Times New Roman" w:hAnsi="Times New Roman" w:cs="Times New Roman"/>
          <w:sz w:val="24"/>
          <w:szCs w:val="24"/>
          <w:shd w:val="clear" w:color="auto" w:fill="FFFFFF"/>
        </w:rPr>
        <w:t>, </w:t>
      </w:r>
      <w:r w:rsidRPr="00920D12">
        <w:rPr>
          <w:rFonts w:ascii="Times New Roman" w:hAnsi="Times New Roman" w:cs="Times New Roman"/>
          <w:i/>
          <w:iCs/>
          <w:sz w:val="24"/>
          <w:szCs w:val="24"/>
          <w:shd w:val="clear" w:color="auto" w:fill="FFFFFF"/>
        </w:rPr>
        <w:t>81</w:t>
      </w:r>
      <w:r w:rsidRPr="00920D12">
        <w:rPr>
          <w:rFonts w:ascii="Times New Roman" w:hAnsi="Times New Roman" w:cs="Times New Roman"/>
          <w:sz w:val="24"/>
          <w:szCs w:val="24"/>
          <w:shd w:val="clear" w:color="auto" w:fill="FFFFFF"/>
        </w:rPr>
        <w:t xml:space="preserve">, 102-109. </w:t>
      </w:r>
      <w:hyperlink r:id="rId13" w:history="1">
        <w:r w:rsidRPr="00920D12">
          <w:rPr>
            <w:rStyle w:val="Hyperlink"/>
            <w:rFonts w:ascii="Times New Roman" w:hAnsi="Times New Roman" w:cs="Times New Roman"/>
            <w:sz w:val="24"/>
            <w:szCs w:val="24"/>
            <w:shd w:val="clear" w:color="auto" w:fill="FFFFFF"/>
          </w:rPr>
          <w:t>https://doi.org/10.1016/j.cct.2019.04.006</w:t>
        </w:r>
      </w:hyperlink>
      <w:r w:rsidRPr="00920D12">
        <w:rPr>
          <w:rFonts w:ascii="Times New Roman" w:hAnsi="Times New Roman" w:cs="Times New Roman"/>
          <w:sz w:val="24"/>
          <w:szCs w:val="24"/>
          <w:shd w:val="clear" w:color="auto" w:fill="FFFFFF"/>
        </w:rPr>
        <w:t xml:space="preserve"> </w:t>
      </w:r>
    </w:p>
    <w:p w:rsidR="0014633C" w:rsidRPr="00920D12" w:rsidRDefault="0014633C" w:rsidP="00920D12">
      <w:pPr>
        <w:spacing w:after="0" w:line="480" w:lineRule="auto"/>
        <w:ind w:left="720" w:hanging="720"/>
        <w:rPr>
          <w:rFonts w:ascii="Times New Roman" w:hAnsi="Times New Roman" w:cs="Times New Roman"/>
          <w:sz w:val="24"/>
          <w:szCs w:val="24"/>
        </w:rPr>
      </w:pPr>
      <w:r w:rsidRPr="00920D12">
        <w:rPr>
          <w:rFonts w:ascii="Times New Roman" w:hAnsi="Times New Roman" w:cs="Times New Roman"/>
          <w:sz w:val="24"/>
          <w:szCs w:val="24"/>
          <w:shd w:val="clear" w:color="auto" w:fill="FFFFFF"/>
        </w:rPr>
        <w:t>Manning, V., Garfield, J. B., Staiger, P. K., Lubman, D. I., Lum, J. A., Reynolds, J., ... &amp; Verdejo-Garcia, A. (2021). Effect of cognitive bias modification on early relapse among adults undergoing inpatient alcohol withdrawal treatment: a randomized clinical trial. </w:t>
      </w:r>
      <w:r w:rsidRPr="00920D12">
        <w:rPr>
          <w:rFonts w:ascii="Times New Roman" w:hAnsi="Times New Roman" w:cs="Times New Roman"/>
          <w:i/>
          <w:iCs/>
          <w:sz w:val="24"/>
          <w:szCs w:val="24"/>
          <w:shd w:val="clear" w:color="auto" w:fill="FFFFFF"/>
        </w:rPr>
        <w:t>JAMA Psychiatry</w:t>
      </w:r>
      <w:r w:rsidRPr="00920D12">
        <w:rPr>
          <w:rFonts w:ascii="Times New Roman" w:hAnsi="Times New Roman" w:cs="Times New Roman"/>
          <w:sz w:val="24"/>
          <w:szCs w:val="24"/>
          <w:shd w:val="clear" w:color="auto" w:fill="FFFFFF"/>
        </w:rPr>
        <w:t>, </w:t>
      </w:r>
      <w:r w:rsidRPr="00920D12">
        <w:rPr>
          <w:rFonts w:ascii="Times New Roman" w:hAnsi="Times New Roman" w:cs="Times New Roman"/>
          <w:i/>
          <w:iCs/>
          <w:sz w:val="24"/>
          <w:szCs w:val="24"/>
          <w:shd w:val="clear" w:color="auto" w:fill="FFFFFF"/>
        </w:rPr>
        <w:t>78</w:t>
      </w:r>
      <w:r w:rsidRPr="00920D12">
        <w:rPr>
          <w:rFonts w:ascii="Times New Roman" w:hAnsi="Times New Roman" w:cs="Times New Roman"/>
          <w:sz w:val="24"/>
          <w:szCs w:val="24"/>
          <w:shd w:val="clear" w:color="auto" w:fill="FFFFFF"/>
        </w:rPr>
        <w:t xml:space="preserve">(2), 133-140. </w:t>
      </w:r>
      <w:hyperlink r:id="rId14" w:history="1">
        <w:r w:rsidRPr="00920D12">
          <w:rPr>
            <w:rStyle w:val="Hyperlink"/>
            <w:rFonts w:ascii="Times New Roman" w:hAnsi="Times New Roman" w:cs="Times New Roman"/>
            <w:sz w:val="24"/>
            <w:szCs w:val="24"/>
            <w:shd w:val="clear" w:color="auto" w:fill="FFFFFF"/>
          </w:rPr>
          <w:t>https://doi.org/10.1001/jamapsychiatry.2020.3446</w:t>
        </w:r>
      </w:hyperlink>
      <w:r w:rsidRPr="00920D12">
        <w:rPr>
          <w:rFonts w:ascii="Times New Roman" w:hAnsi="Times New Roman" w:cs="Times New Roman"/>
          <w:sz w:val="24"/>
          <w:szCs w:val="24"/>
          <w:shd w:val="clear" w:color="auto" w:fill="FFFFFF"/>
        </w:rPr>
        <w:t xml:space="preserve">  </w:t>
      </w:r>
    </w:p>
    <w:p w:rsidR="0014633C" w:rsidRPr="00920D12" w:rsidRDefault="0014633C" w:rsidP="00920D12">
      <w:pPr>
        <w:spacing w:after="0" w:line="480" w:lineRule="auto"/>
        <w:ind w:left="720" w:hanging="720"/>
        <w:rPr>
          <w:rFonts w:ascii="Times New Roman" w:hAnsi="Times New Roman" w:cs="Times New Roman"/>
          <w:color w:val="212121"/>
          <w:sz w:val="24"/>
          <w:szCs w:val="24"/>
          <w:shd w:val="clear" w:color="auto" w:fill="FFFFFF"/>
        </w:rPr>
      </w:pPr>
      <w:r w:rsidRPr="00920D12">
        <w:rPr>
          <w:rFonts w:ascii="Times New Roman" w:hAnsi="Times New Roman" w:cs="Times New Roman"/>
          <w:color w:val="212121"/>
          <w:sz w:val="24"/>
          <w:szCs w:val="24"/>
          <w:shd w:val="clear" w:color="auto" w:fill="FFFFFF"/>
        </w:rPr>
        <w:t>Mulia, N., Zemore, S. E., Murphy, R., Liu, H., &amp; Catalano, R. (2014). Economic loss and alcohol consumption and problems during the 2008 to 2009 U.S. recession. </w:t>
      </w:r>
      <w:r w:rsidRPr="00920D12">
        <w:rPr>
          <w:rFonts w:ascii="Times New Roman" w:hAnsi="Times New Roman" w:cs="Times New Roman"/>
          <w:i/>
          <w:iCs/>
          <w:color w:val="212121"/>
          <w:sz w:val="24"/>
          <w:szCs w:val="24"/>
          <w:shd w:val="clear" w:color="auto" w:fill="FFFFFF"/>
        </w:rPr>
        <w:t>Alcoholism, clinical and experimental research</w:t>
      </w:r>
      <w:r w:rsidRPr="00920D12">
        <w:rPr>
          <w:rFonts w:ascii="Times New Roman" w:hAnsi="Times New Roman" w:cs="Times New Roman"/>
          <w:color w:val="212121"/>
          <w:sz w:val="24"/>
          <w:szCs w:val="24"/>
          <w:shd w:val="clear" w:color="auto" w:fill="FFFFFF"/>
        </w:rPr>
        <w:t>, </w:t>
      </w:r>
      <w:r w:rsidRPr="00920D12">
        <w:rPr>
          <w:rFonts w:ascii="Times New Roman" w:hAnsi="Times New Roman" w:cs="Times New Roman"/>
          <w:i/>
          <w:iCs/>
          <w:color w:val="212121"/>
          <w:sz w:val="24"/>
          <w:szCs w:val="24"/>
          <w:shd w:val="clear" w:color="auto" w:fill="FFFFFF"/>
        </w:rPr>
        <w:t>38</w:t>
      </w:r>
      <w:r w:rsidRPr="00920D12">
        <w:rPr>
          <w:rFonts w:ascii="Times New Roman" w:hAnsi="Times New Roman" w:cs="Times New Roman"/>
          <w:color w:val="212121"/>
          <w:sz w:val="24"/>
          <w:szCs w:val="24"/>
          <w:shd w:val="clear" w:color="auto" w:fill="FFFFFF"/>
        </w:rPr>
        <w:t xml:space="preserve">(4), 1026–1034. </w:t>
      </w:r>
      <w:hyperlink r:id="rId15" w:history="1">
        <w:r w:rsidRPr="00920D12">
          <w:rPr>
            <w:rStyle w:val="Hyperlink"/>
            <w:rFonts w:ascii="Times New Roman" w:hAnsi="Times New Roman" w:cs="Times New Roman"/>
            <w:sz w:val="24"/>
            <w:szCs w:val="24"/>
            <w:shd w:val="clear" w:color="auto" w:fill="FFFFFF"/>
          </w:rPr>
          <w:t>https://doi.org/10.1111/acer.12301</w:t>
        </w:r>
      </w:hyperlink>
      <w:r w:rsidRPr="00920D12">
        <w:rPr>
          <w:rFonts w:ascii="Times New Roman" w:hAnsi="Times New Roman" w:cs="Times New Roman"/>
          <w:color w:val="212121"/>
          <w:sz w:val="24"/>
          <w:szCs w:val="24"/>
          <w:shd w:val="clear" w:color="auto" w:fill="FFFFFF"/>
        </w:rPr>
        <w:t xml:space="preserve"> </w:t>
      </w:r>
    </w:p>
    <w:p w:rsidR="0014633C" w:rsidRPr="00920D12" w:rsidRDefault="0014633C" w:rsidP="00920D12">
      <w:pPr>
        <w:spacing w:after="0" w:line="480" w:lineRule="auto"/>
        <w:ind w:left="720" w:hanging="720"/>
        <w:rPr>
          <w:rFonts w:ascii="Times New Roman" w:hAnsi="Times New Roman" w:cs="Times New Roman"/>
          <w:color w:val="212121"/>
          <w:sz w:val="24"/>
          <w:szCs w:val="24"/>
          <w:shd w:val="clear" w:color="auto" w:fill="FFFFFF"/>
        </w:rPr>
      </w:pPr>
      <w:r w:rsidRPr="00920D12">
        <w:rPr>
          <w:rFonts w:ascii="Times New Roman" w:hAnsi="Times New Roman" w:cs="Times New Roman"/>
          <w:color w:val="212121"/>
          <w:sz w:val="24"/>
          <w:szCs w:val="24"/>
          <w:shd w:val="clear" w:color="auto" w:fill="FFFFFF"/>
        </w:rPr>
        <w:t>Nehring, S. M., Chen, R. J., &amp; Freeman, A. M. (2023). </w:t>
      </w:r>
      <w:r w:rsidRPr="00920D12">
        <w:rPr>
          <w:rFonts w:ascii="Times New Roman" w:hAnsi="Times New Roman" w:cs="Times New Roman"/>
          <w:i/>
          <w:iCs/>
          <w:color w:val="212121"/>
          <w:sz w:val="24"/>
          <w:szCs w:val="24"/>
          <w:shd w:val="clear" w:color="auto" w:fill="FFFFFF"/>
        </w:rPr>
        <w:t>Alcohol Use Disorder</w:t>
      </w:r>
      <w:r w:rsidRPr="00920D12">
        <w:rPr>
          <w:rFonts w:ascii="Times New Roman" w:hAnsi="Times New Roman" w:cs="Times New Roman"/>
          <w:color w:val="212121"/>
          <w:sz w:val="24"/>
          <w:szCs w:val="24"/>
          <w:shd w:val="clear" w:color="auto" w:fill="FFFFFF"/>
        </w:rPr>
        <w:t>. PubMed. </w:t>
      </w:r>
      <w:hyperlink r:id="rId16" w:history="1">
        <w:r w:rsidRPr="00920D12">
          <w:rPr>
            <w:rStyle w:val="Hyperlink"/>
            <w:rFonts w:ascii="Times New Roman" w:hAnsi="Times New Roman" w:cs="Times New Roman"/>
            <w:sz w:val="24"/>
            <w:szCs w:val="24"/>
            <w:shd w:val="clear" w:color="auto" w:fill="FFFFFF"/>
          </w:rPr>
          <w:t>https://pubmed.ncbi.nlm.nih.gov/28613774/#</w:t>
        </w:r>
      </w:hyperlink>
      <w:r w:rsidRPr="00920D12">
        <w:rPr>
          <w:rFonts w:ascii="Times New Roman" w:hAnsi="Times New Roman" w:cs="Times New Roman"/>
          <w:color w:val="212121"/>
          <w:sz w:val="24"/>
          <w:szCs w:val="24"/>
          <w:shd w:val="clear" w:color="auto" w:fill="FFFFFF"/>
        </w:rPr>
        <w:t xml:space="preserve"> </w:t>
      </w:r>
    </w:p>
    <w:p w:rsidR="0014633C" w:rsidRPr="00920D12" w:rsidRDefault="0014633C" w:rsidP="00920D12">
      <w:pPr>
        <w:spacing w:after="0" w:line="480" w:lineRule="auto"/>
        <w:ind w:left="720" w:hanging="720"/>
        <w:rPr>
          <w:rFonts w:ascii="Times New Roman" w:hAnsi="Times New Roman" w:cs="Times New Roman"/>
          <w:sz w:val="24"/>
          <w:szCs w:val="24"/>
        </w:rPr>
      </w:pPr>
      <w:r w:rsidRPr="00920D12">
        <w:rPr>
          <w:rFonts w:ascii="Times New Roman" w:hAnsi="Times New Roman" w:cs="Times New Roman"/>
          <w:color w:val="212121"/>
          <w:sz w:val="24"/>
          <w:szCs w:val="24"/>
          <w:shd w:val="clear" w:color="auto" w:fill="FFFFFF"/>
        </w:rPr>
        <w:lastRenderedPageBreak/>
        <w:t>Olmstead, T. A., Graff, F. S., Ames-Sikora, A., McCrady, B. S., Gaba, A., &amp; Epstein, E. E. (2019). Cost-effectiveness of individual versus group female-specific cognitive behavioral therapy for alcohol use disorder. </w:t>
      </w:r>
      <w:r w:rsidRPr="00920D12">
        <w:rPr>
          <w:rFonts w:ascii="Times New Roman" w:hAnsi="Times New Roman" w:cs="Times New Roman"/>
          <w:i/>
          <w:iCs/>
          <w:color w:val="212121"/>
          <w:sz w:val="24"/>
          <w:szCs w:val="24"/>
          <w:shd w:val="clear" w:color="auto" w:fill="FFFFFF"/>
        </w:rPr>
        <w:t>Journal of substance abuse treatment</w:t>
      </w:r>
      <w:r w:rsidRPr="00920D12">
        <w:rPr>
          <w:rFonts w:ascii="Times New Roman" w:hAnsi="Times New Roman" w:cs="Times New Roman"/>
          <w:color w:val="212121"/>
          <w:sz w:val="24"/>
          <w:szCs w:val="24"/>
          <w:shd w:val="clear" w:color="auto" w:fill="FFFFFF"/>
        </w:rPr>
        <w:t>, </w:t>
      </w:r>
      <w:r w:rsidRPr="00920D12">
        <w:rPr>
          <w:rFonts w:ascii="Times New Roman" w:hAnsi="Times New Roman" w:cs="Times New Roman"/>
          <w:i/>
          <w:iCs/>
          <w:color w:val="212121"/>
          <w:sz w:val="24"/>
          <w:szCs w:val="24"/>
          <w:shd w:val="clear" w:color="auto" w:fill="FFFFFF"/>
        </w:rPr>
        <w:t>100</w:t>
      </w:r>
      <w:r w:rsidRPr="00920D12">
        <w:rPr>
          <w:rFonts w:ascii="Times New Roman" w:hAnsi="Times New Roman" w:cs="Times New Roman"/>
          <w:color w:val="212121"/>
          <w:sz w:val="24"/>
          <w:szCs w:val="24"/>
          <w:shd w:val="clear" w:color="auto" w:fill="FFFFFF"/>
        </w:rPr>
        <w:t xml:space="preserve">, 1–7. </w:t>
      </w:r>
      <w:hyperlink r:id="rId17" w:history="1">
        <w:r w:rsidRPr="00920D12">
          <w:rPr>
            <w:rStyle w:val="Hyperlink"/>
            <w:rFonts w:ascii="Times New Roman" w:hAnsi="Times New Roman" w:cs="Times New Roman"/>
            <w:sz w:val="24"/>
            <w:szCs w:val="24"/>
            <w:shd w:val="clear" w:color="auto" w:fill="FFFFFF"/>
          </w:rPr>
          <w:t>https://doi.org/10.1016/j.jsat.2019.02.001</w:t>
        </w:r>
      </w:hyperlink>
      <w:r w:rsidRPr="00920D12">
        <w:rPr>
          <w:rFonts w:ascii="Times New Roman" w:hAnsi="Times New Roman" w:cs="Times New Roman"/>
          <w:color w:val="212121"/>
          <w:sz w:val="24"/>
          <w:szCs w:val="24"/>
          <w:shd w:val="clear" w:color="auto" w:fill="FFFFFF"/>
        </w:rPr>
        <w:t xml:space="preserve"> </w:t>
      </w:r>
    </w:p>
    <w:p w:rsidR="0014633C" w:rsidRPr="00920D12" w:rsidRDefault="0014633C" w:rsidP="00920D12">
      <w:pPr>
        <w:spacing w:after="0" w:line="480" w:lineRule="auto"/>
        <w:ind w:left="720" w:hanging="720"/>
        <w:rPr>
          <w:rFonts w:ascii="Times New Roman" w:hAnsi="Times New Roman" w:cs="Times New Roman"/>
          <w:color w:val="222222"/>
          <w:sz w:val="24"/>
          <w:szCs w:val="24"/>
          <w:shd w:val="clear" w:color="auto" w:fill="FFFFFF"/>
        </w:rPr>
      </w:pPr>
      <w:r w:rsidRPr="00920D12">
        <w:rPr>
          <w:rFonts w:ascii="Times New Roman" w:hAnsi="Times New Roman" w:cs="Times New Roman"/>
          <w:color w:val="222222"/>
          <w:sz w:val="24"/>
          <w:szCs w:val="24"/>
          <w:shd w:val="clear" w:color="auto" w:fill="FFFFFF"/>
        </w:rPr>
        <w:t>Smith, M.C. &amp; Parker, M. E. (Eds.) (2019). </w:t>
      </w:r>
      <w:r w:rsidRPr="00920D12">
        <w:rPr>
          <w:rFonts w:ascii="Times New Roman" w:hAnsi="Times New Roman" w:cs="Times New Roman"/>
          <w:i/>
          <w:iCs/>
          <w:color w:val="222222"/>
          <w:sz w:val="24"/>
          <w:szCs w:val="24"/>
          <w:shd w:val="clear" w:color="auto" w:fill="FFFFFF"/>
        </w:rPr>
        <w:t>Nursing theories &amp; nursing practice.</w:t>
      </w:r>
      <w:r w:rsidRPr="00920D12">
        <w:rPr>
          <w:rFonts w:ascii="Times New Roman" w:hAnsi="Times New Roman" w:cs="Times New Roman"/>
          <w:color w:val="222222"/>
          <w:sz w:val="24"/>
          <w:szCs w:val="24"/>
          <w:shd w:val="clear" w:color="auto" w:fill="FFFFFF"/>
        </w:rPr>
        <w:t> </w:t>
      </w:r>
      <w:r w:rsidRPr="00920D12">
        <w:rPr>
          <w:rFonts w:ascii="Times New Roman" w:hAnsi="Times New Roman" w:cs="Times New Roman"/>
          <w:i/>
          <w:iCs/>
          <w:color w:val="222222"/>
          <w:sz w:val="24"/>
          <w:szCs w:val="24"/>
          <w:shd w:val="clear" w:color="auto" w:fill="FFFFFF"/>
        </w:rPr>
        <w:t>(5th ed.). </w:t>
      </w:r>
      <w:r w:rsidRPr="00920D12">
        <w:rPr>
          <w:rFonts w:ascii="Times New Roman" w:hAnsi="Times New Roman" w:cs="Times New Roman"/>
          <w:color w:val="222222"/>
          <w:sz w:val="24"/>
          <w:szCs w:val="24"/>
          <w:shd w:val="clear" w:color="auto" w:fill="FFFFFF"/>
        </w:rPr>
        <w:t>F.A. Davis Co.</w:t>
      </w:r>
    </w:p>
    <w:p w:rsidR="00B422E7" w:rsidRDefault="0014633C" w:rsidP="009B3939">
      <w:pPr>
        <w:spacing w:after="0" w:line="480" w:lineRule="auto"/>
        <w:ind w:left="720" w:hanging="720"/>
        <w:rPr>
          <w:b/>
        </w:rPr>
      </w:pPr>
      <w:r w:rsidRPr="00920D12">
        <w:rPr>
          <w:rFonts w:ascii="Times New Roman" w:hAnsi="Times New Roman" w:cs="Times New Roman"/>
          <w:color w:val="212121"/>
          <w:sz w:val="24"/>
          <w:szCs w:val="24"/>
          <w:shd w:val="clear" w:color="auto" w:fill="FFFFFF"/>
        </w:rPr>
        <w:t>Yip J. Y. C. (2021). Theory-Based Advanced Nursing Practice: A Practice Update on the Application of Orem's Self-Care Deficit Nursing Theory. </w:t>
      </w:r>
      <w:r w:rsidRPr="00920D12">
        <w:rPr>
          <w:rFonts w:ascii="Times New Roman" w:hAnsi="Times New Roman" w:cs="Times New Roman"/>
          <w:i/>
          <w:iCs/>
          <w:color w:val="212121"/>
          <w:sz w:val="24"/>
          <w:szCs w:val="24"/>
          <w:shd w:val="clear" w:color="auto" w:fill="FFFFFF"/>
        </w:rPr>
        <w:t>SAGE open nursing</w:t>
      </w:r>
      <w:r w:rsidRPr="00920D12">
        <w:rPr>
          <w:rFonts w:ascii="Times New Roman" w:hAnsi="Times New Roman" w:cs="Times New Roman"/>
          <w:color w:val="212121"/>
          <w:sz w:val="24"/>
          <w:szCs w:val="24"/>
          <w:shd w:val="clear" w:color="auto" w:fill="FFFFFF"/>
        </w:rPr>
        <w:t>, </w:t>
      </w:r>
      <w:r w:rsidRPr="00920D12">
        <w:rPr>
          <w:rFonts w:ascii="Times New Roman" w:hAnsi="Times New Roman" w:cs="Times New Roman"/>
          <w:i/>
          <w:iCs/>
          <w:color w:val="212121"/>
          <w:sz w:val="24"/>
          <w:szCs w:val="24"/>
          <w:shd w:val="clear" w:color="auto" w:fill="FFFFFF"/>
        </w:rPr>
        <w:t>7</w:t>
      </w:r>
      <w:r w:rsidRPr="00920D12">
        <w:rPr>
          <w:rFonts w:ascii="Times New Roman" w:hAnsi="Times New Roman" w:cs="Times New Roman"/>
          <w:color w:val="212121"/>
          <w:sz w:val="24"/>
          <w:szCs w:val="24"/>
          <w:shd w:val="clear" w:color="auto" w:fill="FFFFFF"/>
        </w:rPr>
        <w:t xml:space="preserve">, 23779608211011993. </w:t>
      </w:r>
      <w:hyperlink r:id="rId18" w:history="1">
        <w:r w:rsidRPr="00920D12">
          <w:rPr>
            <w:rStyle w:val="Hyperlink"/>
            <w:rFonts w:ascii="Times New Roman" w:hAnsi="Times New Roman" w:cs="Times New Roman"/>
            <w:sz w:val="24"/>
            <w:szCs w:val="24"/>
            <w:shd w:val="clear" w:color="auto" w:fill="FFFFFF"/>
          </w:rPr>
          <w:t>https://doi.org/10.1177/23779608211011993</w:t>
        </w:r>
      </w:hyperlink>
      <w:bookmarkStart w:id="0" w:name="_GoBack"/>
      <w:bookmarkEnd w:id="0"/>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920D12" w:rsidRDefault="00920D12" w:rsidP="0014633C">
      <w:pPr>
        <w:rPr>
          <w:b/>
        </w:rPr>
      </w:pPr>
    </w:p>
    <w:p w:rsidR="00920D12" w:rsidRDefault="00920D12" w:rsidP="0014633C">
      <w:pPr>
        <w:rPr>
          <w:b/>
        </w:rPr>
      </w:pPr>
    </w:p>
    <w:p w:rsidR="00920D12" w:rsidRDefault="00920D12" w:rsidP="0014633C">
      <w:pPr>
        <w:rPr>
          <w:b/>
        </w:rPr>
      </w:pPr>
    </w:p>
    <w:sectPr w:rsidR="00920D12">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FDE" w:rsidRDefault="00E16FDE">
      <w:pPr>
        <w:spacing w:after="0" w:line="240" w:lineRule="auto"/>
      </w:pPr>
      <w:r>
        <w:separator/>
      </w:r>
    </w:p>
  </w:endnote>
  <w:endnote w:type="continuationSeparator" w:id="0">
    <w:p w:rsidR="00E16FDE" w:rsidRDefault="00E1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FDE" w:rsidRDefault="00E16FDE">
      <w:pPr>
        <w:spacing w:after="0" w:line="240" w:lineRule="auto"/>
      </w:pPr>
      <w:r>
        <w:separator/>
      </w:r>
    </w:p>
  </w:footnote>
  <w:footnote w:type="continuationSeparator" w:id="0">
    <w:p w:rsidR="00E16FDE" w:rsidRDefault="00E16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270433"/>
      <w:docPartObj>
        <w:docPartGallery w:val="Page Numbers (Top of Page)"/>
        <w:docPartUnique/>
      </w:docPartObj>
    </w:sdtPr>
    <w:sdtEndPr>
      <w:rPr>
        <w:noProof/>
      </w:rPr>
    </w:sdtEndPr>
    <w:sdtContent>
      <w:p w:rsidR="00AE5680" w:rsidRDefault="004A216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E5680" w:rsidRDefault="00E16F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KyMLU0t7Q0NjYyNzJX0lEKTi0uzszPAykwrgUAM7st0iwAAAA="/>
  </w:docVars>
  <w:rsids>
    <w:rsidRoot w:val="00636D88"/>
    <w:rsid w:val="000661AF"/>
    <w:rsid w:val="001113CC"/>
    <w:rsid w:val="0014633C"/>
    <w:rsid w:val="00195FDD"/>
    <w:rsid w:val="00210DDE"/>
    <w:rsid w:val="00235E76"/>
    <w:rsid w:val="002539C4"/>
    <w:rsid w:val="00262F69"/>
    <w:rsid w:val="00303ACE"/>
    <w:rsid w:val="00336593"/>
    <w:rsid w:val="004A216A"/>
    <w:rsid w:val="004B7A01"/>
    <w:rsid w:val="005238CF"/>
    <w:rsid w:val="00636D88"/>
    <w:rsid w:val="00697F6F"/>
    <w:rsid w:val="0071305D"/>
    <w:rsid w:val="00871965"/>
    <w:rsid w:val="008B4E44"/>
    <w:rsid w:val="00920D12"/>
    <w:rsid w:val="009379A7"/>
    <w:rsid w:val="009B3939"/>
    <w:rsid w:val="009F1C5A"/>
    <w:rsid w:val="00A33374"/>
    <w:rsid w:val="00AF0DC2"/>
    <w:rsid w:val="00B422E7"/>
    <w:rsid w:val="00B60F57"/>
    <w:rsid w:val="00CA591F"/>
    <w:rsid w:val="00E13C05"/>
    <w:rsid w:val="00E16FDE"/>
    <w:rsid w:val="00EA10D6"/>
    <w:rsid w:val="00EC0388"/>
    <w:rsid w:val="00EE6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05D4"/>
  <w15:chartTrackingRefBased/>
  <w15:docId w15:val="{885AE1C5-9778-4DA2-B6B1-D47C37F3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33C"/>
  </w:style>
  <w:style w:type="paragraph" w:styleId="Heading1">
    <w:name w:val="heading 1"/>
    <w:basedOn w:val="Heading2"/>
    <w:next w:val="Normal"/>
    <w:link w:val="Heading1Char"/>
    <w:autoRedefine/>
    <w:uiPriority w:val="9"/>
    <w:qFormat/>
    <w:rsid w:val="0014633C"/>
    <w:pPr>
      <w:spacing w:before="240"/>
      <w:outlineLvl w:val="0"/>
    </w:pPr>
    <w:rPr>
      <w:rFonts w:ascii="Times New Roman" w:hAnsi="Times New Roman"/>
      <w:color w:val="000000" w:themeColor="text1"/>
      <w:sz w:val="22"/>
      <w:szCs w:val="32"/>
    </w:rPr>
  </w:style>
  <w:style w:type="paragraph" w:styleId="Heading2">
    <w:name w:val="heading 2"/>
    <w:basedOn w:val="Normal"/>
    <w:next w:val="Normal"/>
    <w:link w:val="Heading2Char"/>
    <w:uiPriority w:val="9"/>
    <w:semiHidden/>
    <w:unhideWhenUsed/>
    <w:qFormat/>
    <w:rsid w:val="001463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33C"/>
    <w:rPr>
      <w:rFonts w:ascii="Times New Roman" w:eastAsiaTheme="majorEastAsia" w:hAnsi="Times New Roman" w:cstheme="majorBidi"/>
      <w:color w:val="000000" w:themeColor="text1"/>
      <w:szCs w:val="32"/>
    </w:rPr>
  </w:style>
  <w:style w:type="character" w:styleId="Hyperlink">
    <w:name w:val="Hyperlink"/>
    <w:basedOn w:val="DefaultParagraphFont"/>
    <w:uiPriority w:val="99"/>
    <w:unhideWhenUsed/>
    <w:rsid w:val="0014633C"/>
    <w:rPr>
      <w:color w:val="0563C1" w:themeColor="hyperlink"/>
      <w:u w:val="single"/>
    </w:rPr>
  </w:style>
  <w:style w:type="paragraph" w:styleId="Header">
    <w:name w:val="header"/>
    <w:basedOn w:val="Normal"/>
    <w:link w:val="HeaderChar"/>
    <w:uiPriority w:val="99"/>
    <w:unhideWhenUsed/>
    <w:rsid w:val="00146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33C"/>
  </w:style>
  <w:style w:type="table" w:styleId="TableGrid">
    <w:name w:val="Table Grid"/>
    <w:basedOn w:val="TableNormal"/>
    <w:uiPriority w:val="39"/>
    <w:rsid w:val="0014633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63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4633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3058-023-00499-z" TargetMode="External"/><Relationship Id="rId13" Type="http://schemas.openxmlformats.org/officeDocument/2006/relationships/hyperlink" Target="https://doi.org/10.1016/j.cct.2019.04.006" TargetMode="External"/><Relationship Id="rId18" Type="http://schemas.openxmlformats.org/officeDocument/2006/relationships/hyperlink" Target="https://doi.org/10.1177/23779608211011993"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i.org/10.3390/ijerph20085495" TargetMode="External"/><Relationship Id="rId12" Type="http://schemas.openxmlformats.org/officeDocument/2006/relationships/hyperlink" Target="https://doi.org/10.1037/ccp0000447" TargetMode="External"/><Relationship Id="rId17" Type="http://schemas.openxmlformats.org/officeDocument/2006/relationships/hyperlink" Target="https://doi.org/10.1016/j.jsat.2019.02.001" TargetMode="External"/><Relationship Id="rId2" Type="http://schemas.openxmlformats.org/officeDocument/2006/relationships/settings" Target="settings.xml"/><Relationship Id="rId16" Type="http://schemas.openxmlformats.org/officeDocument/2006/relationships/hyperlink" Target="https://pubmed.ncbi.nlm.nih.gov/28613774/"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111/jan.15223" TargetMode="External"/><Relationship Id="rId11" Type="http://schemas.openxmlformats.org/officeDocument/2006/relationships/hyperlink" Target="https://doi.org/10.1016/S2215-0366(20)30489-2" TargetMode="External"/><Relationship Id="rId5" Type="http://schemas.openxmlformats.org/officeDocument/2006/relationships/endnotes" Target="endnotes.xml"/><Relationship Id="rId15" Type="http://schemas.openxmlformats.org/officeDocument/2006/relationships/hyperlink" Target="https://doi.org/10.1111/acer.12301" TargetMode="External"/><Relationship Id="rId10" Type="http://schemas.openxmlformats.org/officeDocument/2006/relationships/hyperlink" Target="https://www.ncbi.nlm.nih.gov/pmc/articles/PMC4872618/"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177/0011000019887493" TargetMode="External"/><Relationship Id="rId14" Type="http://schemas.openxmlformats.org/officeDocument/2006/relationships/hyperlink" Target="https://doi.org/10.1001/jamapsychiatry.2020.3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12</Pages>
  <Words>2922</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29</cp:revision>
  <dcterms:created xsi:type="dcterms:W3CDTF">2024-02-13T07:25:00Z</dcterms:created>
  <dcterms:modified xsi:type="dcterms:W3CDTF">2024-02-17T06:59:00Z</dcterms:modified>
</cp:coreProperties>
</file>