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4B2A7" w14:textId="77777777" w:rsidR="00616B70" w:rsidRPr="005C6AE2" w:rsidRDefault="00616B7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69D3E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B0E91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AAF9C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FD2E8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AE2F4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167DC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A25C1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75E36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E2">
        <w:rPr>
          <w:rFonts w:ascii="Times New Roman" w:hAnsi="Times New Roman" w:cs="Times New Roman"/>
          <w:b/>
          <w:sz w:val="24"/>
          <w:szCs w:val="24"/>
        </w:rPr>
        <w:t xml:space="preserve">Weekly Reflection </w:t>
      </w:r>
    </w:p>
    <w:p w14:paraId="66363C9E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07508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68281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97D75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ECF3D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139EB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t>Name</w:t>
      </w:r>
    </w:p>
    <w:p w14:paraId="7E27AF47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t>Course</w:t>
      </w:r>
    </w:p>
    <w:p w14:paraId="537C3EDD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t>Student Affiliation</w:t>
      </w:r>
    </w:p>
    <w:p w14:paraId="608478BA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t>Instructor</w:t>
      </w:r>
    </w:p>
    <w:p w14:paraId="55186C9B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t>Date Due</w:t>
      </w:r>
    </w:p>
    <w:p w14:paraId="250B6BE0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23623A0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2019442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1A1675F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074E40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51C392" w14:textId="77777777" w:rsidR="008127A0" w:rsidRPr="005C6AE2" w:rsidRDefault="008127A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E2">
        <w:rPr>
          <w:rFonts w:ascii="Times New Roman" w:hAnsi="Times New Roman" w:cs="Times New Roman"/>
          <w:b/>
          <w:sz w:val="24"/>
          <w:szCs w:val="24"/>
        </w:rPr>
        <w:t>Week 2 Assignment 3: Weekly Reflection</w:t>
      </w:r>
    </w:p>
    <w:p w14:paraId="4AC8809B" w14:textId="77777777" w:rsidR="00F749C0" w:rsidRPr="005C6AE2" w:rsidRDefault="007379DE" w:rsidP="007379DE">
      <w:pPr>
        <w:tabs>
          <w:tab w:val="center" w:pos="1080"/>
          <w:tab w:val="center" w:pos="2250"/>
        </w:tabs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tab/>
      </w:r>
      <w:r w:rsidRPr="005C6AE2">
        <w:rPr>
          <w:rFonts w:ascii="Times New Roman" w:hAnsi="Times New Roman" w:cs="Times New Roman"/>
          <w:sz w:val="24"/>
          <w:szCs w:val="24"/>
        </w:rPr>
        <w:tab/>
      </w:r>
      <w:r w:rsidR="00F749C0" w:rsidRPr="005C6AE2">
        <w:rPr>
          <w:rFonts w:ascii="Times New Roman" w:hAnsi="Times New Roman" w:cs="Times New Roman"/>
          <w:sz w:val="24"/>
          <w:szCs w:val="24"/>
        </w:rPr>
        <w:t xml:space="preserve">Assessing patients with mental health disorders can pose challenges, but having an interactive dialogue with the patient significantly aids mental health nurses in formulating decisions. As a student nurse practitioner, facing difficult clinical scenarios related to mental health can be both demanding and a valuable learning experience. Recently, I dealt with a particularly tough situation involving a patient who exhibited acute worsening of depression and expressed thoughts of self-harm. This </w:t>
      </w:r>
      <w:r w:rsidR="006A277C">
        <w:rPr>
          <w:rFonts w:ascii="Times New Roman" w:hAnsi="Times New Roman" w:cs="Times New Roman"/>
          <w:sz w:val="24"/>
          <w:szCs w:val="24"/>
        </w:rPr>
        <w:t>paper will discuss</w:t>
      </w:r>
      <w:r w:rsidR="00F749C0" w:rsidRPr="005C6AE2">
        <w:rPr>
          <w:rFonts w:ascii="Times New Roman" w:hAnsi="Times New Roman" w:cs="Times New Roman"/>
          <w:sz w:val="24"/>
          <w:szCs w:val="24"/>
        </w:rPr>
        <w:t xml:space="preserve"> some of the experiences I acquired through the week the positive outcomes and the lessons for the future. </w:t>
      </w:r>
      <w:r w:rsidRPr="005C6AE2">
        <w:rPr>
          <w:rFonts w:ascii="Times New Roman" w:hAnsi="Times New Roman" w:cs="Times New Roman"/>
          <w:sz w:val="24"/>
          <w:szCs w:val="24"/>
        </w:rPr>
        <w:t>I started to feel uncertain about my ability to accurately diagnose the patient and select the most appropriate treatment plan.</w:t>
      </w:r>
    </w:p>
    <w:p w14:paraId="08FAA443" w14:textId="195C6E14" w:rsidR="007379DE" w:rsidRPr="005C6AE2" w:rsidRDefault="00BB7E08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4B6" w:rsidRPr="005C6A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="007379DE" w:rsidRPr="005C6AE2">
        <w:rPr>
          <w:rFonts w:ascii="Times New Roman" w:hAnsi="Times New Roman" w:cs="Times New Roman"/>
          <w:sz w:val="24"/>
          <w:szCs w:val="24"/>
        </w:rPr>
        <w:t xml:space="preserve">cute stress disorder </w:t>
      </w:r>
      <w:r>
        <w:rPr>
          <w:rFonts w:ascii="Times New Roman" w:hAnsi="Times New Roman" w:cs="Times New Roman"/>
          <w:sz w:val="24"/>
          <w:szCs w:val="24"/>
        </w:rPr>
        <w:t xml:space="preserve">could </w:t>
      </w:r>
      <w:r w:rsidR="007379DE" w:rsidRPr="005C6AE2">
        <w:rPr>
          <w:rFonts w:ascii="Times New Roman" w:hAnsi="Times New Roman" w:cs="Times New Roman"/>
          <w:sz w:val="24"/>
          <w:szCs w:val="24"/>
        </w:rPr>
        <w:t xml:space="preserve">significantly </w:t>
      </w:r>
      <w:proofErr w:type="gramStart"/>
      <w:r w:rsidR="002614B6" w:rsidRPr="005C6AE2">
        <w:rPr>
          <w:rFonts w:ascii="Times New Roman" w:hAnsi="Times New Roman" w:cs="Times New Roman"/>
          <w:sz w:val="24"/>
          <w:szCs w:val="24"/>
        </w:rPr>
        <w:t>affects</w:t>
      </w:r>
      <w:proofErr w:type="gramEnd"/>
      <w:r w:rsidR="007379DE" w:rsidRPr="005C6AE2">
        <w:rPr>
          <w:rFonts w:ascii="Times New Roman" w:hAnsi="Times New Roman" w:cs="Times New Roman"/>
          <w:sz w:val="24"/>
          <w:szCs w:val="24"/>
        </w:rPr>
        <w:t xml:space="preserve"> various areas of functioning, leading to </w:t>
      </w:r>
      <w:r w:rsidR="002614B6" w:rsidRPr="005C6AE2">
        <w:rPr>
          <w:rFonts w:ascii="Times New Roman" w:hAnsi="Times New Roman" w:cs="Times New Roman"/>
          <w:sz w:val="24"/>
          <w:szCs w:val="24"/>
        </w:rPr>
        <w:t>impairment, which also influence</w:t>
      </w:r>
      <w:r w:rsidR="006A277C">
        <w:rPr>
          <w:rFonts w:ascii="Times New Roman" w:hAnsi="Times New Roman" w:cs="Times New Roman"/>
          <w:sz w:val="24"/>
          <w:szCs w:val="24"/>
        </w:rPr>
        <w:t>s</w:t>
      </w:r>
      <w:r w:rsidR="002614B6" w:rsidRPr="005C6AE2">
        <w:rPr>
          <w:rFonts w:ascii="Times New Roman" w:hAnsi="Times New Roman" w:cs="Times New Roman"/>
          <w:sz w:val="24"/>
          <w:szCs w:val="24"/>
        </w:rPr>
        <w:t xml:space="preserve"> mental and physical health. According to</w:t>
      </w:r>
      <w:r w:rsidR="0060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600">
        <w:rPr>
          <w:rFonts w:ascii="Times New Roman" w:hAnsi="Times New Roman" w:cs="Times New Roman"/>
          <w:sz w:val="24"/>
          <w:szCs w:val="24"/>
        </w:rPr>
        <w:t>Worku</w:t>
      </w:r>
      <w:proofErr w:type="spellEnd"/>
      <w:r w:rsidR="00BE3600">
        <w:rPr>
          <w:rFonts w:ascii="Times New Roman" w:hAnsi="Times New Roman" w:cs="Times New Roman"/>
          <w:sz w:val="24"/>
          <w:szCs w:val="24"/>
        </w:rPr>
        <w:t xml:space="preserve"> et al</w:t>
      </w:r>
      <w:r w:rsidR="00601C31">
        <w:rPr>
          <w:rFonts w:ascii="Times New Roman" w:hAnsi="Times New Roman" w:cs="Times New Roman"/>
          <w:sz w:val="24"/>
          <w:szCs w:val="24"/>
        </w:rPr>
        <w:t xml:space="preserve"> (</w:t>
      </w:r>
      <w:r w:rsidR="00BE3600">
        <w:rPr>
          <w:rFonts w:ascii="Times New Roman" w:hAnsi="Times New Roman" w:cs="Times New Roman"/>
          <w:sz w:val="24"/>
          <w:szCs w:val="24"/>
        </w:rPr>
        <w:t>2022</w:t>
      </w:r>
      <w:r w:rsidR="00601C31">
        <w:rPr>
          <w:rFonts w:ascii="Times New Roman" w:hAnsi="Times New Roman" w:cs="Times New Roman"/>
          <w:sz w:val="24"/>
          <w:szCs w:val="24"/>
        </w:rPr>
        <w:t>)</w:t>
      </w:r>
      <w:r w:rsidR="002614B6" w:rsidRPr="005C6AE2">
        <w:rPr>
          <w:rFonts w:ascii="Times New Roman" w:hAnsi="Times New Roman" w:cs="Times New Roman"/>
          <w:sz w:val="24"/>
          <w:szCs w:val="24"/>
        </w:rPr>
        <w:t xml:space="preserve">, ASD represents a psychological jolt experienced by individuals exposed to events involving sudden and unforeseen fatalities or severe injuries, occurring immediately after an event. </w:t>
      </w:r>
      <w:r w:rsidR="0073420E" w:rsidRPr="005C6AE2">
        <w:rPr>
          <w:rFonts w:ascii="Times New Roman" w:hAnsi="Times New Roman" w:cs="Times New Roman"/>
          <w:sz w:val="24"/>
          <w:szCs w:val="24"/>
        </w:rPr>
        <w:t>The patient had e</w:t>
      </w:r>
      <w:r w:rsidR="006A277C">
        <w:rPr>
          <w:rFonts w:ascii="Times New Roman" w:hAnsi="Times New Roman" w:cs="Times New Roman"/>
          <w:sz w:val="24"/>
          <w:szCs w:val="24"/>
        </w:rPr>
        <w:t>xperienced a traumatic incident</w:t>
      </w:r>
      <w:r w:rsidR="0073420E" w:rsidRPr="005C6AE2">
        <w:rPr>
          <w:rFonts w:ascii="Times New Roman" w:hAnsi="Times New Roman" w:cs="Times New Roman"/>
          <w:sz w:val="24"/>
          <w:szCs w:val="24"/>
        </w:rPr>
        <w:t xml:space="preserve"> that triggered his symptoms. However, the patient had intrusion symptoms, dissociative symptoms, avoidance symptoms</w:t>
      </w:r>
      <w:r w:rsidR="006A277C">
        <w:rPr>
          <w:rFonts w:ascii="Times New Roman" w:hAnsi="Times New Roman" w:cs="Times New Roman"/>
          <w:sz w:val="24"/>
          <w:szCs w:val="24"/>
        </w:rPr>
        <w:t>,</w:t>
      </w:r>
      <w:r w:rsidR="0073420E" w:rsidRPr="005C6AE2">
        <w:rPr>
          <w:rFonts w:ascii="Times New Roman" w:hAnsi="Times New Roman" w:cs="Times New Roman"/>
          <w:sz w:val="24"/>
          <w:szCs w:val="24"/>
        </w:rPr>
        <w:t xml:space="preserve"> and arousal symptoms.</w:t>
      </w:r>
      <w:r w:rsidR="002614B6" w:rsidRPr="005C6AE2">
        <w:rPr>
          <w:rFonts w:ascii="Times New Roman" w:hAnsi="Times New Roman" w:cs="Times New Roman"/>
          <w:sz w:val="24"/>
          <w:szCs w:val="24"/>
        </w:rPr>
        <w:t xml:space="preserve"> </w:t>
      </w:r>
      <w:r w:rsidR="00D31B51" w:rsidRPr="005C6AE2">
        <w:rPr>
          <w:rFonts w:ascii="Times New Roman" w:hAnsi="Times New Roman" w:cs="Times New Roman"/>
          <w:sz w:val="24"/>
          <w:szCs w:val="24"/>
        </w:rPr>
        <w:t xml:space="preserve">I had to make sure the patient was safe, from self-harm or harming other patients or staff. I used exposure therapy </w:t>
      </w:r>
      <w:r w:rsidR="009219FA" w:rsidRPr="005C6AE2">
        <w:rPr>
          <w:rFonts w:ascii="Times New Roman" w:hAnsi="Times New Roman" w:cs="Times New Roman"/>
          <w:sz w:val="24"/>
          <w:szCs w:val="24"/>
        </w:rPr>
        <w:t xml:space="preserve">that gradually exposed him to what caused the trauma in a safe way that helped him deal with and lessen the memories of the trauma, </w:t>
      </w:r>
      <w:proofErr w:type="gramStart"/>
      <w:r w:rsidR="009219FA" w:rsidRPr="005C6AE2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9219FA" w:rsidRPr="005C6AE2">
        <w:rPr>
          <w:rFonts w:ascii="Times New Roman" w:hAnsi="Times New Roman" w:cs="Times New Roman"/>
          <w:sz w:val="24"/>
          <w:szCs w:val="24"/>
        </w:rPr>
        <w:t xml:space="preserve"> reducing their fear over time. </w:t>
      </w:r>
      <w:r w:rsidR="00BE3600">
        <w:rPr>
          <w:rFonts w:ascii="Times New Roman" w:hAnsi="Times New Roman" w:cs="Times New Roman"/>
          <w:sz w:val="24"/>
          <w:szCs w:val="24"/>
        </w:rPr>
        <w:t>(Nakao et al., 2021</w:t>
      </w:r>
      <w:r w:rsidR="000A7A72" w:rsidRPr="005C6AE2">
        <w:rPr>
          <w:rFonts w:ascii="Times New Roman" w:hAnsi="Times New Roman" w:cs="Times New Roman"/>
          <w:sz w:val="24"/>
          <w:szCs w:val="24"/>
        </w:rPr>
        <w:t xml:space="preserve">), </w:t>
      </w:r>
      <w:r w:rsidR="009219FA" w:rsidRPr="005C6AE2">
        <w:rPr>
          <w:rFonts w:ascii="Times New Roman" w:hAnsi="Times New Roman" w:cs="Times New Roman"/>
          <w:sz w:val="24"/>
          <w:szCs w:val="24"/>
        </w:rPr>
        <w:t>T</w:t>
      </w:r>
      <w:r w:rsidR="006A277C">
        <w:rPr>
          <w:rFonts w:ascii="Times New Roman" w:hAnsi="Times New Roman" w:cs="Times New Roman"/>
          <w:sz w:val="24"/>
          <w:szCs w:val="24"/>
        </w:rPr>
        <w:t>hrough</w:t>
      </w:r>
      <w:r w:rsidR="009219FA" w:rsidRPr="005C6AE2">
        <w:rPr>
          <w:rFonts w:ascii="Times New Roman" w:hAnsi="Times New Roman" w:cs="Times New Roman"/>
          <w:sz w:val="24"/>
          <w:szCs w:val="24"/>
        </w:rPr>
        <w:t xml:space="preserve"> cognitive-behavioral </w:t>
      </w:r>
      <w:r w:rsidR="000A7A72" w:rsidRPr="005C6AE2">
        <w:rPr>
          <w:rFonts w:ascii="Times New Roman" w:hAnsi="Times New Roman" w:cs="Times New Roman"/>
          <w:sz w:val="24"/>
          <w:szCs w:val="24"/>
        </w:rPr>
        <w:t>therapy,</w:t>
      </w:r>
      <w:r w:rsidR="009219FA" w:rsidRPr="005C6AE2">
        <w:rPr>
          <w:rFonts w:ascii="Times New Roman" w:hAnsi="Times New Roman" w:cs="Times New Roman"/>
          <w:sz w:val="24"/>
          <w:szCs w:val="24"/>
        </w:rPr>
        <w:t xml:space="preserve"> </w:t>
      </w:r>
      <w:r w:rsidR="000A7A72" w:rsidRPr="005C6AE2">
        <w:rPr>
          <w:rFonts w:ascii="Times New Roman" w:hAnsi="Times New Roman" w:cs="Times New Roman"/>
          <w:sz w:val="24"/>
          <w:szCs w:val="24"/>
        </w:rPr>
        <w:t>I was able to have the patient’s attention and he was ready to deal with the situation since CBT encourages more even-handed thoughts that enhance the capacity to manage stress effectively.</w:t>
      </w:r>
    </w:p>
    <w:p w14:paraId="127C4BAD" w14:textId="2A4BE3D3" w:rsidR="006110C0" w:rsidRPr="005C6AE2" w:rsidRDefault="000A7A72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C4B6E" w:rsidRPr="005C6AE2">
        <w:rPr>
          <w:rFonts w:ascii="Times New Roman" w:hAnsi="Times New Roman" w:cs="Times New Roman"/>
          <w:sz w:val="24"/>
          <w:szCs w:val="24"/>
        </w:rPr>
        <w:tab/>
      </w:r>
      <w:r w:rsidRPr="005C6AE2">
        <w:rPr>
          <w:rFonts w:ascii="Times New Roman" w:hAnsi="Times New Roman" w:cs="Times New Roman"/>
          <w:sz w:val="24"/>
          <w:szCs w:val="24"/>
        </w:rPr>
        <w:t>Additionally,</w:t>
      </w:r>
      <w:r w:rsidR="003C4B6E" w:rsidRPr="005C6AE2">
        <w:rPr>
          <w:rFonts w:ascii="Times New Roman" w:hAnsi="Times New Roman" w:cs="Times New Roman"/>
          <w:sz w:val="24"/>
          <w:szCs w:val="24"/>
        </w:rPr>
        <w:t xml:space="preserve"> establishing rapport and trust with the patient helped since I actively listened to the patient’s concerns without judgment, also I provided a safe and supportive environment for him to express his feelings. </w:t>
      </w:r>
      <w:r w:rsidR="006110C0" w:rsidRPr="005C6AE2">
        <w:rPr>
          <w:rFonts w:ascii="Times New Roman" w:hAnsi="Times New Roman" w:cs="Times New Roman"/>
          <w:sz w:val="24"/>
          <w:szCs w:val="24"/>
        </w:rPr>
        <w:t>Moreover, I collaborated with mental health experts and the attending psychiatrist to seek advice and guarantee a thorough approach to the patient’s care. This teamwork was essential in creating a well-organized strategy for continued treatment.</w:t>
      </w:r>
      <w:r w:rsidR="00BE3600">
        <w:rPr>
          <w:rFonts w:ascii="Times New Roman" w:hAnsi="Times New Roman" w:cs="Times New Roman"/>
          <w:sz w:val="24"/>
          <w:szCs w:val="24"/>
        </w:rPr>
        <w:t xml:space="preserve"> (Kumar et al.,</w:t>
      </w:r>
      <w:r w:rsidR="00BB7E08">
        <w:rPr>
          <w:rFonts w:ascii="Times New Roman" w:hAnsi="Times New Roman" w:cs="Times New Roman"/>
          <w:sz w:val="24"/>
          <w:szCs w:val="24"/>
        </w:rPr>
        <w:t xml:space="preserve"> </w:t>
      </w:r>
      <w:r w:rsidR="00BE3600">
        <w:rPr>
          <w:rFonts w:ascii="Times New Roman" w:hAnsi="Times New Roman" w:cs="Times New Roman"/>
          <w:sz w:val="24"/>
          <w:szCs w:val="24"/>
        </w:rPr>
        <w:t>2020</w:t>
      </w:r>
      <w:r w:rsidR="006110C0" w:rsidRPr="005C6AE2">
        <w:rPr>
          <w:rFonts w:ascii="Times New Roman" w:hAnsi="Times New Roman" w:cs="Times New Roman"/>
          <w:sz w:val="24"/>
          <w:szCs w:val="24"/>
        </w:rPr>
        <w:t xml:space="preserve">), according to WHO, more so than numerous healthcare providers, mental health </w:t>
      </w:r>
      <w:r w:rsidR="00EC5F64" w:rsidRPr="005C6AE2">
        <w:rPr>
          <w:rFonts w:ascii="Times New Roman" w:hAnsi="Times New Roman" w:cs="Times New Roman"/>
          <w:sz w:val="24"/>
          <w:szCs w:val="24"/>
        </w:rPr>
        <w:t>practitioners</w:t>
      </w:r>
      <w:r w:rsidR="006110C0" w:rsidRPr="005C6AE2">
        <w:rPr>
          <w:rFonts w:ascii="Times New Roman" w:hAnsi="Times New Roman" w:cs="Times New Roman"/>
          <w:sz w:val="24"/>
          <w:szCs w:val="24"/>
        </w:rPr>
        <w:t xml:space="preserve"> need to </w:t>
      </w:r>
      <w:r w:rsidR="00EC5F64" w:rsidRPr="005C6AE2">
        <w:rPr>
          <w:rFonts w:ascii="Times New Roman" w:hAnsi="Times New Roman" w:cs="Times New Roman"/>
          <w:sz w:val="24"/>
          <w:szCs w:val="24"/>
        </w:rPr>
        <w:t xml:space="preserve">adeptly collaborate with professionals from various fields such as neurology, endocrinology, nutrition, education, social work, psychology, and the justice system. Embracing a collaborative approach and a mindset focused on partnership should be recognized as </w:t>
      </w:r>
      <w:r w:rsidR="00BB7E08" w:rsidRPr="005C6AE2">
        <w:rPr>
          <w:rFonts w:ascii="Times New Roman" w:hAnsi="Times New Roman" w:cs="Times New Roman"/>
          <w:sz w:val="24"/>
          <w:szCs w:val="24"/>
        </w:rPr>
        <w:t>an asset</w:t>
      </w:r>
      <w:r w:rsidR="00EC5F64" w:rsidRPr="005C6AE2">
        <w:rPr>
          <w:rFonts w:ascii="Times New Roman" w:hAnsi="Times New Roman" w:cs="Times New Roman"/>
          <w:sz w:val="24"/>
          <w:szCs w:val="24"/>
        </w:rPr>
        <w:t xml:space="preserve"> in this field.</w:t>
      </w:r>
    </w:p>
    <w:p w14:paraId="456FDB34" w14:textId="77777777" w:rsidR="00EC5F64" w:rsidRPr="005C6AE2" w:rsidRDefault="00EC5F64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  <w:r w:rsidRPr="005C6AE2">
        <w:rPr>
          <w:rFonts w:ascii="Times New Roman" w:hAnsi="Times New Roman" w:cs="Times New Roman"/>
          <w:sz w:val="24"/>
          <w:szCs w:val="24"/>
        </w:rPr>
        <w:tab/>
      </w:r>
      <w:r w:rsidR="00937298" w:rsidRPr="005C6AE2">
        <w:rPr>
          <w:rFonts w:ascii="Times New Roman" w:hAnsi="Times New Roman" w:cs="Times New Roman"/>
          <w:sz w:val="24"/>
          <w:szCs w:val="24"/>
        </w:rPr>
        <w:tab/>
        <w:t xml:space="preserve">However, under the direction of the psychiatrist, I started suitable medication to relieve the immediate symptoms. </w:t>
      </w:r>
      <w:r w:rsidR="00D63057">
        <w:rPr>
          <w:rFonts w:ascii="Times New Roman" w:hAnsi="Times New Roman" w:cs="Times New Roman"/>
          <w:sz w:val="24"/>
          <w:szCs w:val="24"/>
        </w:rPr>
        <w:t>(Gao et al., 2023), a</w:t>
      </w:r>
      <w:r w:rsidR="00937298" w:rsidRPr="005C6AE2">
        <w:rPr>
          <w:rFonts w:ascii="Times New Roman" w:hAnsi="Times New Roman" w:cs="Times New Roman"/>
          <w:sz w:val="24"/>
          <w:szCs w:val="24"/>
        </w:rPr>
        <w:t>t the same time, I arranged for the patient to receive continuous therapy and counseling to tackle the root causes of his condition.</w:t>
      </w:r>
      <w:r w:rsidR="00A82C24" w:rsidRPr="005C6AE2">
        <w:rPr>
          <w:rFonts w:ascii="Times New Roman" w:hAnsi="Times New Roman" w:cs="Times New Roman"/>
          <w:sz w:val="24"/>
          <w:szCs w:val="24"/>
        </w:rPr>
        <w:t xml:space="preserve"> Additionally</w:t>
      </w:r>
      <w:r w:rsidR="006A277C">
        <w:rPr>
          <w:rFonts w:ascii="Times New Roman" w:hAnsi="Times New Roman" w:cs="Times New Roman"/>
          <w:sz w:val="24"/>
          <w:szCs w:val="24"/>
        </w:rPr>
        <w:t>,</w:t>
      </w:r>
      <w:r w:rsidR="00A82C24" w:rsidRPr="005C6AE2">
        <w:rPr>
          <w:rFonts w:ascii="Times New Roman" w:hAnsi="Times New Roman" w:cs="Times New Roman"/>
          <w:sz w:val="24"/>
          <w:szCs w:val="24"/>
        </w:rPr>
        <w:t xml:space="preserve"> I offered comprehensive guidance to him and the support system about the importance of taking medications as prescribed, </w:t>
      </w:r>
      <w:r w:rsidR="006A277C">
        <w:rPr>
          <w:rFonts w:ascii="Times New Roman" w:hAnsi="Times New Roman" w:cs="Times New Roman"/>
          <w:sz w:val="24"/>
          <w:szCs w:val="24"/>
        </w:rPr>
        <w:t xml:space="preserve">and </w:t>
      </w:r>
      <w:r w:rsidR="00A82C24" w:rsidRPr="005C6AE2">
        <w:rPr>
          <w:rFonts w:ascii="Times New Roman" w:hAnsi="Times New Roman" w:cs="Times New Roman"/>
          <w:sz w:val="24"/>
          <w:szCs w:val="24"/>
        </w:rPr>
        <w:t>recognizing potential signs. In conclusion, th</w:t>
      </w:r>
      <w:r w:rsidR="00D63057">
        <w:rPr>
          <w:rFonts w:ascii="Times New Roman" w:hAnsi="Times New Roman" w:cs="Times New Roman"/>
          <w:sz w:val="24"/>
          <w:szCs w:val="24"/>
        </w:rPr>
        <w:t>is tough situation emphasized</w:t>
      </w:r>
      <w:r w:rsidR="00A82C24" w:rsidRPr="005C6AE2">
        <w:rPr>
          <w:rFonts w:ascii="Times New Roman" w:hAnsi="Times New Roman" w:cs="Times New Roman"/>
          <w:sz w:val="24"/>
          <w:szCs w:val="24"/>
        </w:rPr>
        <w:t xml:space="preserve"> empathy, listening, and teamwork in mental </w:t>
      </w:r>
      <w:r w:rsidR="00D63057" w:rsidRPr="005C6AE2">
        <w:rPr>
          <w:rFonts w:ascii="Times New Roman" w:hAnsi="Times New Roman" w:cs="Times New Roman"/>
          <w:sz w:val="24"/>
          <w:szCs w:val="24"/>
        </w:rPr>
        <w:t>healthcare;</w:t>
      </w:r>
      <w:r w:rsidR="00A82C24" w:rsidRPr="005C6AE2">
        <w:rPr>
          <w:rFonts w:ascii="Times New Roman" w:hAnsi="Times New Roman" w:cs="Times New Roman"/>
          <w:sz w:val="24"/>
          <w:szCs w:val="24"/>
        </w:rPr>
        <w:t xml:space="preserve"> it stressed the need for quick evaluation, intervention during mental health crises, and multidisciplinary collaboration in complex cases.</w:t>
      </w:r>
    </w:p>
    <w:p w14:paraId="6F392BEF" w14:textId="77777777" w:rsidR="00F777B4" w:rsidRPr="005C6AE2" w:rsidRDefault="00F777B4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</w:p>
    <w:p w14:paraId="7F576C0D" w14:textId="77777777" w:rsidR="00F777B4" w:rsidRDefault="00F777B4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</w:p>
    <w:p w14:paraId="57D93538" w14:textId="77777777" w:rsidR="005C6AE2" w:rsidRPr="005C6AE2" w:rsidRDefault="005C6AE2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</w:p>
    <w:p w14:paraId="42DB80FB" w14:textId="77777777" w:rsidR="00F777B4" w:rsidRPr="005C6AE2" w:rsidRDefault="00F777B4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</w:p>
    <w:p w14:paraId="79EFFCA4" w14:textId="77777777" w:rsidR="00F777B4" w:rsidRPr="005C6AE2" w:rsidRDefault="00F777B4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</w:p>
    <w:p w14:paraId="06BC0928" w14:textId="77777777" w:rsidR="00F777B4" w:rsidRDefault="005C6AE2" w:rsidP="00D63057">
      <w:pPr>
        <w:tabs>
          <w:tab w:val="center" w:pos="990"/>
          <w:tab w:val="center" w:pos="1350"/>
          <w:tab w:val="center" w:pos="1620"/>
          <w:tab w:val="center" w:pos="2250"/>
        </w:tabs>
        <w:ind w:left="990" w:hanging="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 </w:t>
      </w:r>
    </w:p>
    <w:p w14:paraId="6C2F35FF" w14:textId="77777777" w:rsidR="00BB7E08" w:rsidRPr="00BB7E08" w:rsidRDefault="00BB7E08" w:rsidP="00D63057">
      <w:pPr>
        <w:tabs>
          <w:tab w:val="center" w:pos="990"/>
          <w:tab w:val="center" w:pos="1350"/>
          <w:tab w:val="center" w:pos="1620"/>
          <w:tab w:val="center" w:pos="2250"/>
        </w:tabs>
        <w:ind w:left="990" w:hanging="99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Gao, X., Wang, Z., Guo, L., Gu, Y., Song, L., Wu, Z., ... &amp; Yang, Q. (2023). Consensus on the pharmacological treatment of acute stress disorder in Chinese pilots: a Delphi study. </w:t>
      </w:r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psychiatry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664. </w:t>
      </w:r>
      <w:hyperlink r:id="rId6" w:history="1">
        <w:r w:rsidRPr="00BB7E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bookmarkStart w:id="0" w:name="_GoBack"/>
        <w:bookmarkEnd w:id="0"/>
        <w:r w:rsidRPr="00BB7E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10.1186%2Fs12888-023-05145-5</w:t>
        </w:r>
      </w:hyperlink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A37743D" w14:textId="77777777" w:rsidR="00BB7E08" w:rsidRPr="00BB7E08" w:rsidRDefault="00BB7E08" w:rsidP="00D63057">
      <w:pPr>
        <w:tabs>
          <w:tab w:val="center" w:pos="990"/>
          <w:tab w:val="center" w:pos="1350"/>
          <w:tab w:val="center" w:pos="1620"/>
          <w:tab w:val="center" w:pos="2250"/>
        </w:tabs>
        <w:ind w:left="990" w:hanging="99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Kumar, A., Kearney, A., Hoskins, K., &amp; Iyengar, A. (2020). The role of psychiatric mental health nurse practitioners in improving mental and behavioral health care delivery for children and adolescents in multiple settings. </w:t>
      </w:r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psychiatric nursing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(5), 275-280. </w:t>
      </w:r>
      <w:hyperlink r:id="rId7" w:history="1">
        <w:r w:rsidRPr="00BB7E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https://doi.org/10.1016%2Fj.apnu.2020.07.022</w:t>
        </w:r>
      </w:hyperlink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6C734B0F" w14:textId="77777777" w:rsidR="00BB7E08" w:rsidRPr="00BB7E08" w:rsidRDefault="00BB7E08" w:rsidP="00D63057">
      <w:pPr>
        <w:tabs>
          <w:tab w:val="center" w:pos="990"/>
          <w:tab w:val="center" w:pos="1350"/>
          <w:tab w:val="center" w:pos="1620"/>
          <w:tab w:val="center" w:pos="2250"/>
        </w:tabs>
        <w:ind w:left="990" w:hanging="99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Nakao, M., </w:t>
      </w:r>
      <w:proofErr w:type="spellStart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Shirotsuki</w:t>
      </w:r>
      <w:proofErr w:type="spellEnd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Sugaya</w:t>
      </w:r>
      <w:proofErr w:type="spellEnd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(2021). Cognitive–behavioral therapy for management of mental health and stress-related disorders: Recent advances in techniques and technologies. </w:t>
      </w:r>
      <w:proofErr w:type="spellStart"/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BioPsychoSocial</w:t>
      </w:r>
      <w:proofErr w:type="spellEnd"/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medicine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1-4. </w:t>
      </w:r>
      <w:hyperlink r:id="rId8" w:history="1">
        <w:r w:rsidRPr="00BB7E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https://doi.org/10.1186%2Fs13030-021-00219-w</w:t>
        </w:r>
      </w:hyperlink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E1364CE" w14:textId="77777777" w:rsidR="00BB7E08" w:rsidRPr="00BB7E08" w:rsidRDefault="00BB7E08" w:rsidP="00D63057">
      <w:pPr>
        <w:tabs>
          <w:tab w:val="center" w:pos="990"/>
          <w:tab w:val="center" w:pos="1350"/>
          <w:tab w:val="center" w:pos="1620"/>
          <w:tab w:val="center" w:pos="2250"/>
        </w:tabs>
        <w:ind w:left="990" w:hanging="99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Worku</w:t>
      </w:r>
      <w:proofErr w:type="spellEnd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Tesfaw</w:t>
      </w:r>
      <w:proofErr w:type="spellEnd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&amp; </w:t>
      </w:r>
      <w:proofErr w:type="spellStart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Getnet</w:t>
      </w:r>
      <w:proofErr w:type="spellEnd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(2022). Acute stress disorder and the associated factors among traumatized patients admitted at </w:t>
      </w:r>
      <w:proofErr w:type="spellStart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Felege-Hiwot</w:t>
      </w:r>
      <w:proofErr w:type="spellEnd"/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University of Gondar comprehensive specialized hospitals in Northwest Ethiopia. </w:t>
      </w:r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psychiatry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B7E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1-12. </w:t>
      </w:r>
      <w:hyperlink r:id="rId9" w:history="1">
        <w:r w:rsidRPr="00BB7E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https://doi.org/10.1186%2Fs12888-022-03961-9</w:t>
        </w:r>
      </w:hyperlink>
      <w:r w:rsidRPr="00BB7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0CA2AC9" w14:textId="77777777" w:rsidR="00BE3600" w:rsidRDefault="00BE3600" w:rsidP="00BE3600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6D8370A" w14:textId="77777777" w:rsidR="00BE3600" w:rsidRPr="00BE3600" w:rsidRDefault="00BE3600" w:rsidP="00BE3600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</w:p>
    <w:p w14:paraId="4FC44230" w14:textId="77777777" w:rsidR="00EC5F64" w:rsidRPr="005C6AE2" w:rsidRDefault="00EC5F64" w:rsidP="007379DE">
      <w:pPr>
        <w:tabs>
          <w:tab w:val="center" w:pos="990"/>
          <w:tab w:val="center" w:pos="1350"/>
          <w:tab w:val="center" w:pos="1620"/>
          <w:tab w:val="center" w:pos="2250"/>
        </w:tabs>
        <w:rPr>
          <w:rFonts w:ascii="Times New Roman" w:hAnsi="Times New Roman" w:cs="Times New Roman"/>
          <w:sz w:val="24"/>
          <w:szCs w:val="24"/>
        </w:rPr>
      </w:pPr>
    </w:p>
    <w:p w14:paraId="372C172F" w14:textId="77777777" w:rsidR="00F749C0" w:rsidRPr="005C6AE2" w:rsidRDefault="00F749C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2478F" w14:textId="77777777" w:rsidR="00F749C0" w:rsidRPr="005C6AE2" w:rsidRDefault="00F749C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FF87C" w14:textId="77777777" w:rsidR="00F749C0" w:rsidRPr="005C6AE2" w:rsidRDefault="00F749C0" w:rsidP="008127A0">
      <w:pPr>
        <w:tabs>
          <w:tab w:val="center" w:pos="1620"/>
          <w:tab w:val="center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49C0" w:rsidRPr="005C6AE2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3C37" w14:textId="77777777" w:rsidR="008F0D13" w:rsidRDefault="008F0D13" w:rsidP="008127A0">
      <w:pPr>
        <w:spacing w:line="240" w:lineRule="auto"/>
      </w:pPr>
      <w:r>
        <w:separator/>
      </w:r>
    </w:p>
  </w:endnote>
  <w:endnote w:type="continuationSeparator" w:id="0">
    <w:p w14:paraId="2AAA3226" w14:textId="77777777" w:rsidR="008F0D13" w:rsidRDefault="008F0D13" w:rsidP="00812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35F2D" w14:textId="77777777" w:rsidR="008F0D13" w:rsidRDefault="008F0D13" w:rsidP="008127A0">
      <w:pPr>
        <w:spacing w:line="240" w:lineRule="auto"/>
      </w:pPr>
      <w:r>
        <w:separator/>
      </w:r>
    </w:p>
  </w:footnote>
  <w:footnote w:type="continuationSeparator" w:id="0">
    <w:p w14:paraId="077040FC" w14:textId="77777777" w:rsidR="008F0D13" w:rsidRDefault="008F0D13" w:rsidP="008127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A0"/>
    <w:rsid w:val="000A7A72"/>
    <w:rsid w:val="00211F46"/>
    <w:rsid w:val="002614B6"/>
    <w:rsid w:val="003C4B6E"/>
    <w:rsid w:val="005C6AE2"/>
    <w:rsid w:val="00601C31"/>
    <w:rsid w:val="006110C0"/>
    <w:rsid w:val="00616B70"/>
    <w:rsid w:val="006A277C"/>
    <w:rsid w:val="00706648"/>
    <w:rsid w:val="0073420E"/>
    <w:rsid w:val="007379DE"/>
    <w:rsid w:val="008127A0"/>
    <w:rsid w:val="008A2905"/>
    <w:rsid w:val="008F0D13"/>
    <w:rsid w:val="009219FA"/>
    <w:rsid w:val="00937298"/>
    <w:rsid w:val="00A82C24"/>
    <w:rsid w:val="00BB7E08"/>
    <w:rsid w:val="00BE3600"/>
    <w:rsid w:val="00D31B51"/>
    <w:rsid w:val="00D63057"/>
    <w:rsid w:val="00EC5F64"/>
    <w:rsid w:val="00F749C0"/>
    <w:rsid w:val="00F7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CE3C2"/>
  <w15:docId w15:val="{910C9D24-9512-441C-81DB-CC2A6F29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27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7A0"/>
  </w:style>
  <w:style w:type="paragraph" w:styleId="Footer">
    <w:name w:val="footer"/>
    <w:basedOn w:val="Normal"/>
    <w:link w:val="FooterChar"/>
    <w:uiPriority w:val="99"/>
    <w:semiHidden/>
    <w:unhideWhenUsed/>
    <w:rsid w:val="008127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7A0"/>
  </w:style>
  <w:style w:type="character" w:styleId="Hyperlink">
    <w:name w:val="Hyperlink"/>
    <w:basedOn w:val="DefaultParagraphFont"/>
    <w:uiPriority w:val="99"/>
    <w:unhideWhenUsed/>
    <w:rsid w:val="00BE3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%2Fs13030-021-00219-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%2Fj.apnu.2020.07.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%2Fs12888-023-05145-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186%2Fs12888-022-03961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Grish Ngari</cp:lastModifiedBy>
  <cp:revision>2</cp:revision>
  <dcterms:created xsi:type="dcterms:W3CDTF">2024-01-10T19:37:00Z</dcterms:created>
  <dcterms:modified xsi:type="dcterms:W3CDTF">2024-01-10T19:37:00Z</dcterms:modified>
</cp:coreProperties>
</file>