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DC3E9" w14:textId="77777777" w:rsidR="00552FC1" w:rsidRDefault="00552FC1" w:rsidP="00552FC1">
      <w:pPr>
        <w:shd w:val="clear" w:color="auto" w:fill="FFFFFF"/>
        <w:spacing w:line="480" w:lineRule="auto"/>
        <w:ind w:left="-240"/>
        <w:jc w:val="center"/>
        <w:rPr>
          <w:rFonts w:ascii="Times New Roman" w:eastAsia="Times New Roman" w:hAnsi="Times New Roman" w:cs="Times New Roman"/>
          <w:b/>
          <w:bCs/>
          <w:sz w:val="24"/>
          <w:szCs w:val="24"/>
        </w:rPr>
      </w:pPr>
      <w:bookmarkStart w:id="0" w:name="_GoBack"/>
      <w:bookmarkEnd w:id="0"/>
    </w:p>
    <w:p w14:paraId="31EE3B9E" w14:textId="77777777" w:rsidR="00552FC1" w:rsidRDefault="00552FC1" w:rsidP="00552FC1">
      <w:pPr>
        <w:shd w:val="clear" w:color="auto" w:fill="FFFFFF"/>
        <w:spacing w:line="480" w:lineRule="auto"/>
        <w:ind w:left="-240"/>
        <w:jc w:val="center"/>
        <w:rPr>
          <w:rFonts w:ascii="Times New Roman" w:eastAsia="Times New Roman" w:hAnsi="Times New Roman" w:cs="Times New Roman"/>
          <w:b/>
          <w:bCs/>
          <w:sz w:val="24"/>
          <w:szCs w:val="24"/>
        </w:rPr>
      </w:pPr>
    </w:p>
    <w:p w14:paraId="7B6291F6" w14:textId="77777777" w:rsidR="00552FC1" w:rsidRDefault="00552FC1" w:rsidP="00552FC1">
      <w:pPr>
        <w:shd w:val="clear" w:color="auto" w:fill="FFFFFF"/>
        <w:spacing w:line="480" w:lineRule="auto"/>
        <w:ind w:left="-240"/>
        <w:jc w:val="center"/>
        <w:rPr>
          <w:rFonts w:ascii="Times New Roman" w:eastAsia="Times New Roman" w:hAnsi="Times New Roman" w:cs="Times New Roman"/>
          <w:b/>
          <w:bCs/>
          <w:sz w:val="24"/>
          <w:szCs w:val="24"/>
        </w:rPr>
      </w:pPr>
    </w:p>
    <w:p w14:paraId="3798B38C" w14:textId="77777777" w:rsidR="00552FC1" w:rsidRDefault="00552FC1" w:rsidP="00552FC1">
      <w:pPr>
        <w:shd w:val="clear" w:color="auto" w:fill="FFFFFF"/>
        <w:spacing w:line="480" w:lineRule="auto"/>
        <w:ind w:left="-240"/>
        <w:jc w:val="center"/>
        <w:rPr>
          <w:rFonts w:ascii="Times New Roman" w:eastAsia="Times New Roman" w:hAnsi="Times New Roman" w:cs="Times New Roman"/>
          <w:b/>
          <w:bCs/>
          <w:sz w:val="24"/>
          <w:szCs w:val="24"/>
        </w:rPr>
      </w:pPr>
    </w:p>
    <w:p w14:paraId="125A3B2C" w14:textId="0F868B3F" w:rsidR="00B400C4" w:rsidRDefault="00B400C4" w:rsidP="00552FC1">
      <w:pPr>
        <w:shd w:val="clear" w:color="auto" w:fill="FFFFFF"/>
        <w:spacing w:line="480" w:lineRule="auto"/>
        <w:ind w:left="-240"/>
        <w:jc w:val="center"/>
        <w:rPr>
          <w:rFonts w:ascii="Times New Roman" w:eastAsia="Times New Roman" w:hAnsi="Times New Roman" w:cs="Times New Roman"/>
          <w:b/>
          <w:bCs/>
          <w:sz w:val="24"/>
          <w:szCs w:val="24"/>
        </w:rPr>
      </w:pPr>
      <w:r w:rsidRPr="00552FC1">
        <w:rPr>
          <w:rFonts w:ascii="Times New Roman" w:eastAsia="Times New Roman" w:hAnsi="Times New Roman" w:cs="Times New Roman"/>
          <w:b/>
          <w:bCs/>
          <w:sz w:val="24"/>
          <w:szCs w:val="24"/>
        </w:rPr>
        <w:t>Week 4 Discussion</w:t>
      </w:r>
      <w:r w:rsidR="00552FC1">
        <w:rPr>
          <w:rFonts w:ascii="Times New Roman" w:eastAsia="Times New Roman" w:hAnsi="Times New Roman" w:cs="Times New Roman"/>
          <w:b/>
          <w:bCs/>
          <w:sz w:val="24"/>
          <w:szCs w:val="24"/>
        </w:rPr>
        <w:t xml:space="preserve">: Community-Based Initiative to Address </w:t>
      </w:r>
      <w:r w:rsidR="00552FC1" w:rsidRPr="00552FC1">
        <w:rPr>
          <w:rFonts w:ascii="Times New Roman" w:eastAsia="Times New Roman" w:hAnsi="Times New Roman" w:cs="Times New Roman"/>
          <w:b/>
          <w:bCs/>
          <w:sz w:val="24"/>
          <w:szCs w:val="24"/>
        </w:rPr>
        <w:t xml:space="preserve">Alcohol </w:t>
      </w:r>
      <w:r w:rsidR="00552FC1">
        <w:rPr>
          <w:rFonts w:ascii="Times New Roman" w:eastAsia="Times New Roman" w:hAnsi="Times New Roman" w:cs="Times New Roman"/>
          <w:b/>
          <w:bCs/>
          <w:sz w:val="24"/>
          <w:szCs w:val="24"/>
        </w:rPr>
        <w:t>Use Disorder</w:t>
      </w:r>
      <w:r w:rsidR="00552FC1" w:rsidRPr="00552FC1">
        <w:rPr>
          <w:rFonts w:ascii="Times New Roman" w:eastAsia="Times New Roman" w:hAnsi="Times New Roman" w:cs="Times New Roman"/>
          <w:b/>
          <w:bCs/>
          <w:sz w:val="24"/>
          <w:szCs w:val="24"/>
        </w:rPr>
        <w:t xml:space="preserve"> (AUD)</w:t>
      </w:r>
    </w:p>
    <w:p w14:paraId="60C3E663" w14:textId="7565C80A" w:rsidR="00552FC1" w:rsidRPr="00552FC1" w:rsidRDefault="00552FC1" w:rsidP="00552FC1">
      <w:pPr>
        <w:shd w:val="clear" w:color="auto" w:fill="FFFFFF"/>
        <w:spacing w:line="480" w:lineRule="auto"/>
        <w:ind w:left="-240"/>
        <w:jc w:val="center"/>
        <w:rPr>
          <w:rFonts w:ascii="Times New Roman" w:eastAsia="Times New Roman" w:hAnsi="Times New Roman" w:cs="Times New Roman"/>
          <w:sz w:val="24"/>
          <w:szCs w:val="24"/>
        </w:rPr>
      </w:pPr>
      <w:r w:rsidRPr="00552FC1">
        <w:rPr>
          <w:rFonts w:ascii="Times New Roman" w:eastAsia="Times New Roman" w:hAnsi="Times New Roman" w:cs="Times New Roman"/>
          <w:sz w:val="24"/>
          <w:szCs w:val="24"/>
        </w:rPr>
        <w:t>Name</w:t>
      </w:r>
    </w:p>
    <w:p w14:paraId="00D5A1B9" w14:textId="63B6D792" w:rsidR="00552FC1" w:rsidRPr="00552FC1" w:rsidRDefault="00552FC1" w:rsidP="00552FC1">
      <w:pPr>
        <w:shd w:val="clear" w:color="auto" w:fill="FFFFFF"/>
        <w:spacing w:line="480" w:lineRule="auto"/>
        <w:ind w:left="-240"/>
        <w:jc w:val="center"/>
        <w:rPr>
          <w:rFonts w:ascii="Times New Roman" w:eastAsia="Times New Roman" w:hAnsi="Times New Roman" w:cs="Times New Roman"/>
          <w:sz w:val="24"/>
          <w:szCs w:val="24"/>
        </w:rPr>
      </w:pPr>
      <w:r w:rsidRPr="00552FC1">
        <w:rPr>
          <w:rFonts w:ascii="Times New Roman" w:eastAsia="Times New Roman" w:hAnsi="Times New Roman" w:cs="Times New Roman"/>
          <w:sz w:val="24"/>
          <w:szCs w:val="24"/>
        </w:rPr>
        <w:t>Institution</w:t>
      </w:r>
    </w:p>
    <w:p w14:paraId="1E2B3F6D" w14:textId="28D0CE11" w:rsidR="00552FC1" w:rsidRPr="00552FC1" w:rsidRDefault="00552FC1" w:rsidP="00552FC1">
      <w:pPr>
        <w:shd w:val="clear" w:color="auto" w:fill="FFFFFF"/>
        <w:spacing w:line="480" w:lineRule="auto"/>
        <w:ind w:left="-240"/>
        <w:jc w:val="center"/>
        <w:rPr>
          <w:rFonts w:ascii="Times New Roman" w:eastAsia="Times New Roman" w:hAnsi="Times New Roman" w:cs="Times New Roman"/>
          <w:sz w:val="24"/>
          <w:szCs w:val="24"/>
        </w:rPr>
      </w:pPr>
      <w:r w:rsidRPr="00552FC1">
        <w:rPr>
          <w:rFonts w:ascii="Times New Roman" w:eastAsia="Times New Roman" w:hAnsi="Times New Roman" w:cs="Times New Roman"/>
          <w:sz w:val="24"/>
          <w:szCs w:val="24"/>
        </w:rPr>
        <w:t>Course</w:t>
      </w:r>
    </w:p>
    <w:p w14:paraId="3F14D2A7" w14:textId="73643D61" w:rsidR="00552FC1" w:rsidRPr="00552FC1" w:rsidRDefault="00552FC1" w:rsidP="00552FC1">
      <w:pPr>
        <w:shd w:val="clear" w:color="auto" w:fill="FFFFFF"/>
        <w:spacing w:line="480" w:lineRule="auto"/>
        <w:ind w:left="-240"/>
        <w:jc w:val="center"/>
        <w:rPr>
          <w:rFonts w:ascii="Times New Roman" w:eastAsia="Times New Roman" w:hAnsi="Times New Roman" w:cs="Times New Roman"/>
          <w:sz w:val="24"/>
          <w:szCs w:val="24"/>
        </w:rPr>
      </w:pPr>
      <w:r w:rsidRPr="00552FC1">
        <w:rPr>
          <w:rFonts w:ascii="Times New Roman" w:eastAsia="Times New Roman" w:hAnsi="Times New Roman" w:cs="Times New Roman"/>
          <w:sz w:val="24"/>
          <w:szCs w:val="24"/>
        </w:rPr>
        <w:t>Instructor</w:t>
      </w:r>
    </w:p>
    <w:p w14:paraId="7310DDDB" w14:textId="0B066585" w:rsidR="00552FC1" w:rsidRPr="00552FC1" w:rsidRDefault="00552FC1" w:rsidP="00552FC1">
      <w:pPr>
        <w:shd w:val="clear" w:color="auto" w:fill="FFFFFF"/>
        <w:spacing w:line="480" w:lineRule="auto"/>
        <w:ind w:left="-240"/>
        <w:jc w:val="center"/>
        <w:rPr>
          <w:rFonts w:ascii="Times New Roman" w:eastAsia="Times New Roman" w:hAnsi="Times New Roman" w:cs="Times New Roman"/>
          <w:sz w:val="24"/>
          <w:szCs w:val="24"/>
        </w:rPr>
      </w:pPr>
      <w:r w:rsidRPr="00552FC1">
        <w:rPr>
          <w:rFonts w:ascii="Times New Roman" w:eastAsia="Times New Roman" w:hAnsi="Times New Roman" w:cs="Times New Roman"/>
          <w:sz w:val="24"/>
          <w:szCs w:val="24"/>
        </w:rPr>
        <w:t>Date</w:t>
      </w:r>
    </w:p>
    <w:p w14:paraId="6C14D246" w14:textId="77777777" w:rsidR="00552FC1" w:rsidRDefault="00552FC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6EDD5E8" w14:textId="782CDC85" w:rsidR="00552FC1" w:rsidRPr="00552FC1" w:rsidRDefault="00552FC1" w:rsidP="00552FC1">
      <w:pPr>
        <w:shd w:val="clear" w:color="auto" w:fill="FFFFFF"/>
        <w:spacing w:line="480" w:lineRule="auto"/>
        <w:ind w:left="-2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Community-Based Initiative to Address </w:t>
      </w:r>
      <w:r w:rsidRPr="00552FC1">
        <w:rPr>
          <w:rFonts w:ascii="Times New Roman" w:eastAsia="Times New Roman" w:hAnsi="Times New Roman" w:cs="Times New Roman"/>
          <w:b/>
          <w:bCs/>
          <w:sz w:val="24"/>
          <w:szCs w:val="24"/>
        </w:rPr>
        <w:t xml:space="preserve">Alcohol </w:t>
      </w:r>
      <w:r>
        <w:rPr>
          <w:rFonts w:ascii="Times New Roman" w:eastAsia="Times New Roman" w:hAnsi="Times New Roman" w:cs="Times New Roman"/>
          <w:b/>
          <w:bCs/>
          <w:sz w:val="24"/>
          <w:szCs w:val="24"/>
        </w:rPr>
        <w:t>Use Disorder</w:t>
      </w:r>
    </w:p>
    <w:p w14:paraId="6EECDAC4" w14:textId="640DC32D" w:rsidR="00552FC1" w:rsidRPr="00552FC1" w:rsidRDefault="00552FC1" w:rsidP="00552FC1">
      <w:pPr>
        <w:shd w:val="clear" w:color="auto" w:fill="FFFFFF"/>
        <w:spacing w:line="480" w:lineRule="auto"/>
        <w:ind w:left="-240" w:firstLine="960"/>
        <w:rPr>
          <w:rFonts w:ascii="Times New Roman" w:eastAsia="Times New Roman" w:hAnsi="Times New Roman" w:cs="Times New Roman"/>
          <w:sz w:val="24"/>
          <w:szCs w:val="24"/>
        </w:rPr>
      </w:pPr>
      <w:r w:rsidRPr="00552FC1">
        <w:rPr>
          <w:rFonts w:ascii="Times New Roman" w:eastAsia="Times New Roman" w:hAnsi="Times New Roman" w:cs="Times New Roman"/>
          <w:sz w:val="24"/>
          <w:szCs w:val="24"/>
        </w:rPr>
        <w:t xml:space="preserve">Alcohol use disorder (AUD) or alcoholism is a rampant and expensive behavioral condition ranked the third leading preventable cause of death in the USA after tobacco smoking. AUD largely goes undiagnosed, untreated or unreferred exacerbating AUD problems related to missed opportunities to identify and treat AUD patients leading to preventable death, and negative financial, emotional and management implications in the healthcare settings (Zipperer et al., 2022). The grant proposal for the change initiative is an evidence-based patient-oriented and community-based initiative engaging interdisciplinary teams for collaborative practices. The program seeks to address patients’ concerns and enhance connection with clients to provide patient-focused and best care to patients with AUD or unhealthy alcohol misuse. The community-based intervention initiative will identify effective intervention in preventative and early intervention with AUD, and collate a range of interventions implemented including their use and effectiveness (Hafford-Letchfield et al., 2020). Some of the community-based interventions include screening, brief intervention, ongoing education, counseling, motivational intervention, and therapeutic interventions in individual and group therapies including cognitive behavioral and assessment of bio-psychosocial factors. </w:t>
      </w:r>
    </w:p>
    <w:p w14:paraId="535AC96F" w14:textId="03D49BD0" w:rsidR="00552FC1" w:rsidRPr="00552FC1" w:rsidRDefault="00552FC1" w:rsidP="00552FC1">
      <w:pPr>
        <w:shd w:val="clear" w:color="auto" w:fill="FFFFFF"/>
        <w:spacing w:line="480" w:lineRule="auto"/>
        <w:ind w:left="-240" w:firstLine="960"/>
        <w:rPr>
          <w:rFonts w:ascii="Times New Roman" w:eastAsia="Times New Roman" w:hAnsi="Times New Roman" w:cs="Times New Roman"/>
          <w:sz w:val="24"/>
          <w:szCs w:val="24"/>
        </w:rPr>
      </w:pPr>
      <w:r w:rsidRPr="00552FC1">
        <w:rPr>
          <w:rFonts w:ascii="Times New Roman" w:eastAsia="Times New Roman" w:hAnsi="Times New Roman" w:cs="Times New Roman"/>
          <w:sz w:val="24"/>
          <w:szCs w:val="24"/>
        </w:rPr>
        <w:t>There are a range of focused outcomes that will be measured including reduction of alcohol or substance use, abstinence from alcohol use, minimization of harm, improved physical and psychological well-being and enhanced knowledge of AUD management and alcohol misuse (Hafford-Letchfield et al., 2020). Other outcomes include assessment of the value of education, through raising awareness to prevent and facilitate greater management of patients' experiences working towards attaining a holistic treatment approach tailored to patients' needs that can be adapted in the delivery of care such as with cost-effectiveness.</w:t>
      </w:r>
    </w:p>
    <w:p w14:paraId="45ED5725" w14:textId="254A5D04" w:rsidR="00552FC1" w:rsidRPr="00552FC1" w:rsidRDefault="00552FC1" w:rsidP="00552FC1">
      <w:pPr>
        <w:shd w:val="clear" w:color="auto" w:fill="FFFFFF"/>
        <w:spacing w:line="480" w:lineRule="auto"/>
        <w:ind w:left="-240" w:firstLine="960"/>
        <w:rPr>
          <w:rFonts w:ascii="Times New Roman" w:eastAsia="Times New Roman" w:hAnsi="Times New Roman" w:cs="Times New Roman"/>
          <w:sz w:val="24"/>
          <w:szCs w:val="24"/>
        </w:rPr>
      </w:pPr>
      <w:r w:rsidRPr="00552FC1">
        <w:rPr>
          <w:rFonts w:ascii="Times New Roman" w:eastAsia="Times New Roman" w:hAnsi="Times New Roman" w:cs="Times New Roman"/>
          <w:sz w:val="24"/>
          <w:szCs w:val="24"/>
        </w:rPr>
        <w:lastRenderedPageBreak/>
        <w:t>Primarily, patients will be screened using</w:t>
      </w:r>
      <w:r w:rsidRPr="00552FC1">
        <w:rPr>
          <w:rFonts w:ascii="Times New Roman" w:hAnsi="Times New Roman" w:cs="Times New Roman"/>
          <w:sz w:val="24"/>
          <w:szCs w:val="24"/>
        </w:rPr>
        <w:t xml:space="preserve"> the </w:t>
      </w:r>
      <w:r w:rsidRPr="00552FC1">
        <w:rPr>
          <w:rFonts w:ascii="Times New Roman" w:eastAsia="Times New Roman" w:hAnsi="Times New Roman" w:cs="Times New Roman"/>
          <w:sz w:val="24"/>
          <w:szCs w:val="24"/>
        </w:rPr>
        <w:t>Global Assessment of Functioning (GAF), and the Alcohol Use Disorder Identification Test (AUDIT) to measure health-related quality of life outcomes (HRQL) including mental and physical health and how they feel (Hafford-Letchfield et al., 2020). The primary outcome will be measured using the average drinks per day (ADD) derived from the AUDIT score to measure alcohol-related problems. The Short Form Questionnaire-12 items (SF-12) will be used to assess health-related quality of life and evaluate</w:t>
      </w:r>
      <w:r w:rsidRPr="00552FC1">
        <w:rPr>
          <w:rFonts w:ascii="Times New Roman" w:hAnsi="Times New Roman" w:cs="Times New Roman"/>
          <w:sz w:val="24"/>
          <w:szCs w:val="24"/>
        </w:rPr>
        <w:t xml:space="preserve"> </w:t>
      </w:r>
      <w:r w:rsidRPr="00552FC1">
        <w:rPr>
          <w:rFonts w:ascii="Times New Roman" w:eastAsia="Times New Roman" w:hAnsi="Times New Roman" w:cs="Times New Roman"/>
          <w:sz w:val="24"/>
          <w:szCs w:val="24"/>
        </w:rPr>
        <w:t>quality-adjusted life-years (QALYs) by conducting a cost-utility analysis to measure the use of resources on health and social care before and after the change project (Hafford-Letchfield et al., 2020). More so, a pre-and-post assessment will be conducted to measure patients’ level of knowledge gained and test their attitudes using the Likert scale to rate their statements measured using a well-structured questionnaire to assess self-reported feedback and outcomes.</w:t>
      </w:r>
    </w:p>
    <w:p w14:paraId="0E6A365C" w14:textId="4F1E0647" w:rsidR="00552FC1" w:rsidRPr="00552FC1" w:rsidRDefault="00552FC1" w:rsidP="00552FC1">
      <w:pPr>
        <w:shd w:val="clear" w:color="auto" w:fill="FFFFFF"/>
        <w:spacing w:line="480" w:lineRule="auto"/>
        <w:ind w:left="-240" w:firstLine="960"/>
        <w:rPr>
          <w:rFonts w:ascii="Times New Roman" w:eastAsia="Times New Roman" w:hAnsi="Times New Roman" w:cs="Times New Roman"/>
          <w:sz w:val="24"/>
          <w:szCs w:val="24"/>
        </w:rPr>
      </w:pPr>
      <w:r w:rsidRPr="00552FC1">
        <w:rPr>
          <w:rFonts w:ascii="Times New Roman" w:eastAsia="Times New Roman" w:hAnsi="Times New Roman" w:cs="Times New Roman"/>
          <w:sz w:val="24"/>
          <w:szCs w:val="24"/>
        </w:rPr>
        <w:t xml:space="preserve">The education and brief interventions will be measured using personalized information reports related to drinking and health </w:t>
      </w:r>
      <w:r w:rsidR="00C8686C">
        <w:rPr>
          <w:rFonts w:ascii="Times New Roman" w:eastAsia="Times New Roman" w:hAnsi="Times New Roman" w:cs="Times New Roman"/>
          <w:sz w:val="24"/>
          <w:szCs w:val="24"/>
        </w:rPr>
        <w:t>based on</w:t>
      </w:r>
      <w:r w:rsidRPr="00552FC1">
        <w:rPr>
          <w:rFonts w:ascii="Times New Roman" w:eastAsia="Times New Roman" w:hAnsi="Times New Roman" w:cs="Times New Roman"/>
          <w:sz w:val="24"/>
          <w:szCs w:val="24"/>
        </w:rPr>
        <w:t xml:space="preserve"> total reduced alcohol consumption, alcohol use patterns and reduced associated risks by measuring drinking classification. As healthcare providers, it is crucial to focus on attaining reduced quantity and frequency of use instead of focusing on alcohol’s interaction with overall health, functionality and medication through follow-up (MacKillop et al., 2022). To establish the effectiveness of these interventions such as brief interventions, it is crucial to use short-term follow-up at intervals to measure unique physiological and social changes to maintain behavioral change efforts, the severity of AUD and assess comorbidities. The SBIRT (Screening, Brief Intervention, and Referral to Treatment) is a cheap and effective tool to address the risky use of substances by combining outreach and screening interventions by integrating multidisciplinary community mental health teams to achieve controlled drinking and alcohol abstinence (Hafford-Letchfield et al., 2020). As a result, clinicians should </w:t>
      </w:r>
      <w:r w:rsidRPr="00552FC1">
        <w:rPr>
          <w:rFonts w:ascii="Times New Roman" w:eastAsia="Times New Roman" w:hAnsi="Times New Roman" w:cs="Times New Roman"/>
          <w:sz w:val="24"/>
          <w:szCs w:val="24"/>
        </w:rPr>
        <w:lastRenderedPageBreak/>
        <w:t xml:space="preserve">conduct universal screening to improve targeting or refer patients with high-risk behavior to specialists. </w:t>
      </w:r>
    </w:p>
    <w:p w14:paraId="551131A1" w14:textId="585E138E" w:rsidR="00552FC1" w:rsidRPr="00552FC1" w:rsidRDefault="00552FC1" w:rsidP="00552FC1">
      <w:pPr>
        <w:shd w:val="clear" w:color="auto" w:fill="FFFFFF"/>
        <w:spacing w:line="480" w:lineRule="auto"/>
        <w:ind w:left="-240"/>
        <w:jc w:val="center"/>
        <w:rPr>
          <w:rFonts w:ascii="Times New Roman" w:eastAsia="Times New Roman" w:hAnsi="Times New Roman" w:cs="Times New Roman"/>
          <w:b/>
          <w:bCs/>
          <w:sz w:val="24"/>
          <w:szCs w:val="24"/>
        </w:rPr>
      </w:pPr>
      <w:r w:rsidRPr="00552FC1">
        <w:rPr>
          <w:rFonts w:ascii="Times New Roman" w:eastAsia="Times New Roman" w:hAnsi="Times New Roman" w:cs="Times New Roman"/>
          <w:b/>
          <w:bCs/>
          <w:sz w:val="24"/>
          <w:szCs w:val="24"/>
        </w:rPr>
        <w:t>References</w:t>
      </w:r>
    </w:p>
    <w:p w14:paraId="754397B0" w14:textId="77777777" w:rsidR="00552FC1" w:rsidRPr="00552FC1" w:rsidRDefault="00552FC1" w:rsidP="00552FC1">
      <w:pPr>
        <w:spacing w:line="480" w:lineRule="auto"/>
        <w:ind w:left="720" w:hanging="720"/>
        <w:rPr>
          <w:rFonts w:ascii="Times New Roman" w:hAnsi="Times New Roman" w:cs="Times New Roman"/>
          <w:color w:val="222222"/>
          <w:sz w:val="24"/>
          <w:szCs w:val="24"/>
          <w:shd w:val="clear" w:color="auto" w:fill="FFFFFF"/>
        </w:rPr>
      </w:pPr>
      <w:r w:rsidRPr="00552FC1">
        <w:rPr>
          <w:rFonts w:ascii="Times New Roman" w:hAnsi="Times New Roman" w:cs="Times New Roman"/>
          <w:color w:val="222222"/>
          <w:sz w:val="24"/>
          <w:szCs w:val="24"/>
          <w:shd w:val="clear" w:color="auto" w:fill="FFFFFF"/>
        </w:rPr>
        <w:t>Hafford-Letchfield, T., McQuarrie, T., Clancy, C., Thom, B., &amp; Jain, B. (2020). Community based interventions for problematic substance use in later life: A systematic review of evaluated studies and their outcomes. </w:t>
      </w:r>
      <w:r w:rsidRPr="00552FC1">
        <w:rPr>
          <w:rFonts w:ascii="Times New Roman" w:hAnsi="Times New Roman" w:cs="Times New Roman"/>
          <w:i/>
          <w:iCs/>
          <w:color w:val="222222"/>
          <w:sz w:val="24"/>
          <w:szCs w:val="24"/>
          <w:shd w:val="clear" w:color="auto" w:fill="FFFFFF"/>
        </w:rPr>
        <w:t>International journal of environmental research and public health</w:t>
      </w:r>
      <w:r w:rsidRPr="00552FC1">
        <w:rPr>
          <w:rFonts w:ascii="Times New Roman" w:hAnsi="Times New Roman" w:cs="Times New Roman"/>
          <w:color w:val="222222"/>
          <w:sz w:val="24"/>
          <w:szCs w:val="24"/>
          <w:shd w:val="clear" w:color="auto" w:fill="FFFFFF"/>
        </w:rPr>
        <w:t>, </w:t>
      </w:r>
      <w:r w:rsidRPr="00552FC1">
        <w:rPr>
          <w:rFonts w:ascii="Times New Roman" w:hAnsi="Times New Roman" w:cs="Times New Roman"/>
          <w:i/>
          <w:iCs/>
          <w:color w:val="222222"/>
          <w:sz w:val="24"/>
          <w:szCs w:val="24"/>
          <w:shd w:val="clear" w:color="auto" w:fill="FFFFFF"/>
        </w:rPr>
        <w:t>17</w:t>
      </w:r>
      <w:r w:rsidRPr="00552FC1">
        <w:rPr>
          <w:rFonts w:ascii="Times New Roman" w:hAnsi="Times New Roman" w:cs="Times New Roman"/>
          <w:color w:val="222222"/>
          <w:sz w:val="24"/>
          <w:szCs w:val="24"/>
          <w:shd w:val="clear" w:color="auto" w:fill="FFFFFF"/>
        </w:rPr>
        <w:t>(21), 7994.</w:t>
      </w:r>
      <w:r w:rsidRPr="00552FC1">
        <w:rPr>
          <w:rFonts w:ascii="Times New Roman" w:hAnsi="Times New Roman" w:cs="Times New Roman"/>
          <w:sz w:val="24"/>
          <w:szCs w:val="24"/>
        </w:rPr>
        <w:t xml:space="preserve"> </w:t>
      </w:r>
      <w:hyperlink r:id="rId7" w:history="1">
        <w:r w:rsidRPr="00552FC1">
          <w:rPr>
            <w:rStyle w:val="Hyperlink"/>
            <w:rFonts w:ascii="Times New Roman" w:hAnsi="Times New Roman" w:cs="Times New Roman"/>
            <w:sz w:val="24"/>
            <w:szCs w:val="24"/>
            <w:shd w:val="clear" w:color="auto" w:fill="FFFFFF"/>
          </w:rPr>
          <w:t>https://doi.org/10.3390%2Fijerph17217994</w:t>
        </w:r>
      </w:hyperlink>
      <w:r w:rsidRPr="00552FC1">
        <w:rPr>
          <w:rFonts w:ascii="Times New Roman" w:hAnsi="Times New Roman" w:cs="Times New Roman"/>
          <w:color w:val="222222"/>
          <w:sz w:val="24"/>
          <w:szCs w:val="24"/>
          <w:shd w:val="clear" w:color="auto" w:fill="FFFFFF"/>
        </w:rPr>
        <w:t xml:space="preserve"> </w:t>
      </w:r>
    </w:p>
    <w:p w14:paraId="3D1F1E98" w14:textId="77777777" w:rsidR="00552FC1" w:rsidRPr="00552FC1" w:rsidRDefault="00552FC1" w:rsidP="00552FC1">
      <w:pPr>
        <w:spacing w:line="480" w:lineRule="auto"/>
        <w:ind w:left="720" w:hanging="720"/>
        <w:rPr>
          <w:rFonts w:ascii="Times New Roman" w:hAnsi="Times New Roman" w:cs="Times New Roman"/>
          <w:sz w:val="24"/>
          <w:szCs w:val="24"/>
        </w:rPr>
      </w:pPr>
      <w:r w:rsidRPr="00552FC1">
        <w:rPr>
          <w:rFonts w:ascii="Times New Roman" w:hAnsi="Times New Roman" w:cs="Times New Roman"/>
          <w:color w:val="222222"/>
          <w:sz w:val="24"/>
          <w:szCs w:val="24"/>
          <w:shd w:val="clear" w:color="auto" w:fill="FFFFFF"/>
        </w:rPr>
        <w:t xml:space="preserve">MacKillop, J., </w:t>
      </w:r>
      <w:proofErr w:type="spellStart"/>
      <w:r w:rsidRPr="00552FC1">
        <w:rPr>
          <w:rFonts w:ascii="Times New Roman" w:hAnsi="Times New Roman" w:cs="Times New Roman"/>
          <w:color w:val="222222"/>
          <w:sz w:val="24"/>
          <w:szCs w:val="24"/>
          <w:shd w:val="clear" w:color="auto" w:fill="FFFFFF"/>
        </w:rPr>
        <w:t>Agabio</w:t>
      </w:r>
      <w:proofErr w:type="spellEnd"/>
      <w:r w:rsidRPr="00552FC1">
        <w:rPr>
          <w:rFonts w:ascii="Times New Roman" w:hAnsi="Times New Roman" w:cs="Times New Roman"/>
          <w:color w:val="222222"/>
          <w:sz w:val="24"/>
          <w:szCs w:val="24"/>
          <w:shd w:val="clear" w:color="auto" w:fill="FFFFFF"/>
        </w:rPr>
        <w:t>, R., Feldstein Ewing, S. W., Heilig, M., Kelly, J. F., Leggio, L., ... &amp; Rehm, J. (2022). Hazardous drinking and alcohol use disorders. </w:t>
      </w:r>
      <w:r w:rsidRPr="00552FC1">
        <w:rPr>
          <w:rFonts w:ascii="Times New Roman" w:hAnsi="Times New Roman" w:cs="Times New Roman"/>
          <w:i/>
          <w:iCs/>
          <w:color w:val="222222"/>
          <w:sz w:val="24"/>
          <w:szCs w:val="24"/>
          <w:shd w:val="clear" w:color="auto" w:fill="FFFFFF"/>
        </w:rPr>
        <w:t>Nature Reviews Disease Primers</w:t>
      </w:r>
      <w:r w:rsidRPr="00552FC1">
        <w:rPr>
          <w:rFonts w:ascii="Times New Roman" w:hAnsi="Times New Roman" w:cs="Times New Roman"/>
          <w:color w:val="222222"/>
          <w:sz w:val="24"/>
          <w:szCs w:val="24"/>
          <w:shd w:val="clear" w:color="auto" w:fill="FFFFFF"/>
        </w:rPr>
        <w:t>, </w:t>
      </w:r>
      <w:r w:rsidRPr="00552FC1">
        <w:rPr>
          <w:rFonts w:ascii="Times New Roman" w:hAnsi="Times New Roman" w:cs="Times New Roman"/>
          <w:i/>
          <w:iCs/>
          <w:color w:val="222222"/>
          <w:sz w:val="24"/>
          <w:szCs w:val="24"/>
          <w:shd w:val="clear" w:color="auto" w:fill="FFFFFF"/>
        </w:rPr>
        <w:t>8</w:t>
      </w:r>
      <w:r w:rsidRPr="00552FC1">
        <w:rPr>
          <w:rFonts w:ascii="Times New Roman" w:hAnsi="Times New Roman" w:cs="Times New Roman"/>
          <w:color w:val="222222"/>
          <w:sz w:val="24"/>
          <w:szCs w:val="24"/>
          <w:shd w:val="clear" w:color="auto" w:fill="FFFFFF"/>
        </w:rPr>
        <w:t xml:space="preserve">(1), 80. </w:t>
      </w:r>
      <w:hyperlink r:id="rId8" w:history="1">
        <w:r w:rsidRPr="00552FC1">
          <w:rPr>
            <w:rStyle w:val="Hyperlink"/>
            <w:rFonts w:ascii="Times New Roman" w:hAnsi="Times New Roman" w:cs="Times New Roman"/>
            <w:sz w:val="24"/>
            <w:szCs w:val="24"/>
            <w:shd w:val="clear" w:color="auto" w:fill="FFFFFF"/>
          </w:rPr>
          <w:t>https://doi.org/10.1038/s41572-022-00406-1</w:t>
        </w:r>
      </w:hyperlink>
      <w:r w:rsidRPr="00552FC1">
        <w:rPr>
          <w:rFonts w:ascii="Times New Roman" w:hAnsi="Times New Roman" w:cs="Times New Roman"/>
          <w:color w:val="222222"/>
          <w:sz w:val="24"/>
          <w:szCs w:val="24"/>
          <w:shd w:val="clear" w:color="auto" w:fill="FFFFFF"/>
        </w:rPr>
        <w:t xml:space="preserve"> </w:t>
      </w:r>
    </w:p>
    <w:p w14:paraId="6DE5772C" w14:textId="77777777" w:rsidR="00552FC1" w:rsidRPr="00552FC1" w:rsidRDefault="00552FC1" w:rsidP="00552FC1">
      <w:pPr>
        <w:shd w:val="clear" w:color="auto" w:fill="FFFFFF"/>
        <w:spacing w:line="480" w:lineRule="auto"/>
        <w:ind w:left="482" w:hanging="720"/>
        <w:rPr>
          <w:rStyle w:val="Hyperlink"/>
          <w:rFonts w:ascii="Times New Roman" w:hAnsi="Times New Roman" w:cs="Times New Roman"/>
          <w:sz w:val="24"/>
          <w:szCs w:val="24"/>
          <w:shd w:val="clear" w:color="auto" w:fill="FFFFFF"/>
        </w:rPr>
      </w:pPr>
      <w:r w:rsidRPr="00552FC1">
        <w:rPr>
          <w:rFonts w:ascii="Times New Roman" w:hAnsi="Times New Roman" w:cs="Times New Roman"/>
          <w:color w:val="222222"/>
          <w:sz w:val="24"/>
          <w:szCs w:val="24"/>
          <w:shd w:val="clear" w:color="auto" w:fill="FFFFFF"/>
        </w:rPr>
        <w:t>Zipperer, L., Ryan, R., &amp; Jones, B. (2022). Alcoholism and American healthcare: The case for a patient safety approach. </w:t>
      </w:r>
      <w:r w:rsidRPr="00552FC1">
        <w:rPr>
          <w:rFonts w:ascii="Times New Roman" w:hAnsi="Times New Roman" w:cs="Times New Roman"/>
          <w:i/>
          <w:iCs/>
          <w:color w:val="222222"/>
          <w:sz w:val="24"/>
          <w:szCs w:val="24"/>
          <w:shd w:val="clear" w:color="auto" w:fill="FFFFFF"/>
        </w:rPr>
        <w:t>Journal of Patient Safety and Risk Management</w:t>
      </w:r>
      <w:r w:rsidRPr="00552FC1">
        <w:rPr>
          <w:rFonts w:ascii="Times New Roman" w:hAnsi="Times New Roman" w:cs="Times New Roman"/>
          <w:color w:val="222222"/>
          <w:sz w:val="24"/>
          <w:szCs w:val="24"/>
          <w:shd w:val="clear" w:color="auto" w:fill="FFFFFF"/>
        </w:rPr>
        <w:t>, </w:t>
      </w:r>
      <w:r w:rsidRPr="00552FC1">
        <w:rPr>
          <w:rFonts w:ascii="Times New Roman" w:hAnsi="Times New Roman" w:cs="Times New Roman"/>
          <w:i/>
          <w:iCs/>
          <w:color w:val="222222"/>
          <w:sz w:val="24"/>
          <w:szCs w:val="24"/>
          <w:shd w:val="clear" w:color="auto" w:fill="FFFFFF"/>
        </w:rPr>
        <w:t>27</w:t>
      </w:r>
      <w:r w:rsidRPr="00552FC1">
        <w:rPr>
          <w:rFonts w:ascii="Times New Roman" w:hAnsi="Times New Roman" w:cs="Times New Roman"/>
          <w:color w:val="222222"/>
          <w:sz w:val="24"/>
          <w:szCs w:val="24"/>
          <w:shd w:val="clear" w:color="auto" w:fill="FFFFFF"/>
        </w:rPr>
        <w:t>(5), 201-208.</w:t>
      </w:r>
      <w:r w:rsidRPr="00552FC1">
        <w:rPr>
          <w:rFonts w:ascii="Times New Roman" w:hAnsi="Times New Roman" w:cs="Times New Roman"/>
          <w:sz w:val="24"/>
          <w:szCs w:val="24"/>
        </w:rPr>
        <w:t xml:space="preserve"> </w:t>
      </w:r>
      <w:hyperlink r:id="rId9" w:history="1">
        <w:r w:rsidRPr="00552FC1">
          <w:rPr>
            <w:rStyle w:val="Hyperlink"/>
            <w:rFonts w:ascii="Times New Roman" w:hAnsi="Times New Roman" w:cs="Times New Roman"/>
            <w:sz w:val="24"/>
            <w:szCs w:val="24"/>
            <w:shd w:val="clear" w:color="auto" w:fill="FFFFFF"/>
          </w:rPr>
          <w:t>https://doi.org/10.1177/25160435221117952</w:t>
        </w:r>
      </w:hyperlink>
    </w:p>
    <w:p w14:paraId="55AAEEE4" w14:textId="77777777" w:rsidR="00552FC1" w:rsidRPr="00552FC1" w:rsidRDefault="00552FC1" w:rsidP="00552FC1">
      <w:pPr>
        <w:shd w:val="clear" w:color="auto" w:fill="FFFFFF"/>
        <w:spacing w:line="480" w:lineRule="auto"/>
        <w:rPr>
          <w:rFonts w:ascii="Times New Roman" w:eastAsia="Times New Roman" w:hAnsi="Times New Roman" w:cs="Times New Roman"/>
          <w:sz w:val="24"/>
          <w:szCs w:val="24"/>
        </w:rPr>
      </w:pPr>
    </w:p>
    <w:sectPr w:rsidR="00552FC1" w:rsidRPr="00552FC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9F0C2" w14:textId="77777777" w:rsidR="00297B8B" w:rsidRDefault="00297B8B" w:rsidP="00552FC1">
      <w:pPr>
        <w:spacing w:after="0" w:line="240" w:lineRule="auto"/>
      </w:pPr>
      <w:r>
        <w:separator/>
      </w:r>
    </w:p>
  </w:endnote>
  <w:endnote w:type="continuationSeparator" w:id="0">
    <w:p w14:paraId="33B413A6" w14:textId="77777777" w:rsidR="00297B8B" w:rsidRDefault="00297B8B" w:rsidP="00552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A2332" w14:textId="77777777" w:rsidR="00297B8B" w:rsidRDefault="00297B8B" w:rsidP="00552FC1">
      <w:pPr>
        <w:spacing w:after="0" w:line="240" w:lineRule="auto"/>
      </w:pPr>
      <w:r>
        <w:separator/>
      </w:r>
    </w:p>
  </w:footnote>
  <w:footnote w:type="continuationSeparator" w:id="0">
    <w:p w14:paraId="562CAC71" w14:textId="77777777" w:rsidR="00297B8B" w:rsidRDefault="00297B8B" w:rsidP="00552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51802"/>
      <w:docPartObj>
        <w:docPartGallery w:val="Page Numbers (Top of Page)"/>
        <w:docPartUnique/>
      </w:docPartObj>
    </w:sdtPr>
    <w:sdtEndPr>
      <w:rPr>
        <w:rFonts w:ascii="Times New Roman" w:hAnsi="Times New Roman" w:cs="Times New Roman"/>
        <w:noProof/>
        <w:sz w:val="24"/>
        <w:szCs w:val="24"/>
      </w:rPr>
    </w:sdtEndPr>
    <w:sdtContent>
      <w:p w14:paraId="3C1CA7BB" w14:textId="7AB438F2" w:rsidR="00552FC1" w:rsidRPr="00552FC1" w:rsidRDefault="00552FC1">
        <w:pPr>
          <w:pStyle w:val="Header"/>
          <w:jc w:val="right"/>
          <w:rPr>
            <w:rFonts w:ascii="Times New Roman" w:hAnsi="Times New Roman" w:cs="Times New Roman"/>
            <w:sz w:val="24"/>
            <w:szCs w:val="24"/>
          </w:rPr>
        </w:pPr>
        <w:r w:rsidRPr="00552FC1">
          <w:rPr>
            <w:rFonts w:ascii="Times New Roman" w:hAnsi="Times New Roman" w:cs="Times New Roman"/>
            <w:sz w:val="24"/>
            <w:szCs w:val="24"/>
          </w:rPr>
          <w:fldChar w:fldCharType="begin"/>
        </w:r>
        <w:r w:rsidRPr="00552FC1">
          <w:rPr>
            <w:rFonts w:ascii="Times New Roman" w:hAnsi="Times New Roman" w:cs="Times New Roman"/>
            <w:sz w:val="24"/>
            <w:szCs w:val="24"/>
          </w:rPr>
          <w:instrText xml:space="preserve"> PAGE   \* MERGEFORMAT </w:instrText>
        </w:r>
        <w:r w:rsidRPr="00552FC1">
          <w:rPr>
            <w:rFonts w:ascii="Times New Roman" w:hAnsi="Times New Roman" w:cs="Times New Roman"/>
            <w:sz w:val="24"/>
            <w:szCs w:val="24"/>
          </w:rPr>
          <w:fldChar w:fldCharType="separate"/>
        </w:r>
        <w:r w:rsidRPr="00552FC1">
          <w:rPr>
            <w:rFonts w:ascii="Times New Roman" w:hAnsi="Times New Roman" w:cs="Times New Roman"/>
            <w:noProof/>
            <w:sz w:val="24"/>
            <w:szCs w:val="24"/>
          </w:rPr>
          <w:t>2</w:t>
        </w:r>
        <w:r w:rsidRPr="00552FC1">
          <w:rPr>
            <w:rFonts w:ascii="Times New Roman" w:hAnsi="Times New Roman" w:cs="Times New Roman"/>
            <w:noProof/>
            <w:sz w:val="24"/>
            <w:szCs w:val="24"/>
          </w:rPr>
          <w:fldChar w:fldCharType="end"/>
        </w:r>
      </w:p>
    </w:sdtContent>
  </w:sdt>
  <w:p w14:paraId="3341C680" w14:textId="77777777" w:rsidR="00552FC1" w:rsidRDefault="00552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778C2"/>
    <w:multiLevelType w:val="multilevel"/>
    <w:tmpl w:val="D5D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CC5F29"/>
    <w:multiLevelType w:val="multilevel"/>
    <w:tmpl w:val="F4CE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xMDIytjAzMTe3MDZU0lEKTi0uzszPAykwqgUANUJxEiwAAAA="/>
  </w:docVars>
  <w:rsids>
    <w:rsidRoot w:val="00203D29"/>
    <w:rsid w:val="001C613A"/>
    <w:rsid w:val="00203D29"/>
    <w:rsid w:val="00297B8B"/>
    <w:rsid w:val="00532445"/>
    <w:rsid w:val="00552FC1"/>
    <w:rsid w:val="006347EA"/>
    <w:rsid w:val="00A57F24"/>
    <w:rsid w:val="00B400C4"/>
    <w:rsid w:val="00C8686C"/>
    <w:rsid w:val="00D4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62862"/>
  <w15:chartTrackingRefBased/>
  <w15:docId w15:val="{ED89585C-1C4D-4589-B3E1-1B8ECD9C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FC1"/>
    <w:rPr>
      <w:color w:val="0563C1" w:themeColor="hyperlink"/>
      <w:u w:val="single"/>
    </w:rPr>
  </w:style>
  <w:style w:type="character" w:styleId="UnresolvedMention">
    <w:name w:val="Unresolved Mention"/>
    <w:basedOn w:val="DefaultParagraphFont"/>
    <w:uiPriority w:val="99"/>
    <w:semiHidden/>
    <w:unhideWhenUsed/>
    <w:rsid w:val="00552FC1"/>
    <w:rPr>
      <w:color w:val="605E5C"/>
      <w:shd w:val="clear" w:color="auto" w:fill="E1DFDD"/>
    </w:rPr>
  </w:style>
  <w:style w:type="paragraph" w:styleId="Header">
    <w:name w:val="header"/>
    <w:basedOn w:val="Normal"/>
    <w:link w:val="HeaderChar"/>
    <w:uiPriority w:val="99"/>
    <w:unhideWhenUsed/>
    <w:rsid w:val="00552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C1"/>
  </w:style>
  <w:style w:type="paragraph" w:styleId="Footer">
    <w:name w:val="footer"/>
    <w:basedOn w:val="Normal"/>
    <w:link w:val="FooterChar"/>
    <w:uiPriority w:val="99"/>
    <w:unhideWhenUsed/>
    <w:rsid w:val="00552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5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72-022-00406-1" TargetMode="External"/><Relationship Id="rId3" Type="http://schemas.openxmlformats.org/officeDocument/2006/relationships/settings" Target="settings.xml"/><Relationship Id="rId7" Type="http://schemas.openxmlformats.org/officeDocument/2006/relationships/hyperlink" Target="https://doi.org/10.3390%2Fijerph172179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77/25160435221117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office</cp:lastModifiedBy>
  <cp:revision>2</cp:revision>
  <dcterms:created xsi:type="dcterms:W3CDTF">2024-05-19T05:34:00Z</dcterms:created>
  <dcterms:modified xsi:type="dcterms:W3CDTF">2024-05-19T05:34:00Z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d4cc2e2b69375b005bc5cb7ff67c24bf229bea6f14e1d9c810e54fef9cc345e2</vt:lpwstr>
  </property>
</Properties>
</file>