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0C16D" w14:textId="66436ECD" w:rsidR="002F175F" w:rsidRPr="00A01EB2" w:rsidRDefault="000042C3" w:rsidP="000042C3">
      <w:pPr>
        <w:rPr>
          <w:b/>
        </w:rPr>
      </w:pPr>
      <w:bookmarkStart w:id="0" w:name="_GoBack"/>
      <w:bookmarkEnd w:id="0"/>
      <w:r w:rsidRPr="00A01EB2">
        <w:rPr>
          <w:b/>
        </w:rPr>
        <w:t xml:space="preserve">Response to </w:t>
      </w:r>
      <w:proofErr w:type="spellStart"/>
      <w:r w:rsidRPr="00A01EB2">
        <w:rPr>
          <w:b/>
        </w:rPr>
        <w:t>Milika</w:t>
      </w:r>
      <w:proofErr w:type="spellEnd"/>
    </w:p>
    <w:p w14:paraId="43FE8970" w14:textId="23A216C9" w:rsidR="000042C3" w:rsidRPr="00A01EB2" w:rsidRDefault="000042C3" w:rsidP="000042C3">
      <w:r w:rsidRPr="00A01EB2">
        <w:t>Thank for your clear articulation of the clinical practice question and purpose. From my observation, the clarity of the question attests to the utility of the feedback provided by faculty and peers after the previous posting. The DESC tool would form a crucial platform for establishing a culture of safety through its effects on nurses’ communication and teamwork (</w:t>
      </w:r>
      <w:proofErr w:type="spellStart"/>
      <w:r w:rsidR="00F51C2C" w:rsidRPr="00A01EB2">
        <w:t>Khoshnoodifar</w:t>
      </w:r>
      <w:proofErr w:type="spellEnd"/>
      <w:r w:rsidR="00F51C2C" w:rsidRPr="00A01EB2">
        <w:t xml:space="preserve"> et al., 2024</w:t>
      </w:r>
      <w:r w:rsidRPr="00A01EB2">
        <w:t>).</w:t>
      </w:r>
      <w:r w:rsidR="00F51C2C" w:rsidRPr="00A01EB2">
        <w:t xml:space="preserve"> </w:t>
      </w:r>
      <w:r w:rsidR="00F51C2C" w:rsidRPr="00A01EB2">
        <w:t xml:space="preserve">After reviewing the example provided by the Agency for Healthcare Research and Quality (AHRQ, 2023), I could not fail to notice that the tool can helping defusing tensions and managing possible conflicts in a nonconfrontational way. </w:t>
      </w:r>
      <w:r w:rsidR="00F51C2C" w:rsidRPr="00A01EB2">
        <w:t>Therefore, I agree i</w:t>
      </w:r>
      <w:r w:rsidR="002B2C5D" w:rsidRPr="00A01EB2">
        <w:t xml:space="preserve">mparting nurses with knowledge regarding the use of the tool would significantly benefit the </w:t>
      </w:r>
      <w:r w:rsidR="00F51C2C" w:rsidRPr="00A01EB2">
        <w:t>practicum site by ensuring structured approach to information sharing. I would be interested in learning about the outcomes you achieve after implementing the intervention.</w:t>
      </w:r>
    </w:p>
    <w:p w14:paraId="67079A1C" w14:textId="14E80307" w:rsidR="00F51C2C" w:rsidRPr="00A01EB2" w:rsidRDefault="00F51C2C" w:rsidP="00F51C2C">
      <w:pPr>
        <w:jc w:val="center"/>
        <w:rPr>
          <w:b/>
        </w:rPr>
      </w:pPr>
      <w:r w:rsidRPr="00A01EB2">
        <w:rPr>
          <w:b/>
        </w:rPr>
        <w:t xml:space="preserve">References </w:t>
      </w:r>
    </w:p>
    <w:p w14:paraId="15C044C4" w14:textId="77777777" w:rsidR="00F51C2C" w:rsidRPr="00A01EB2" w:rsidRDefault="00F51C2C" w:rsidP="00F51C2C">
      <w:pPr>
        <w:ind w:left="720" w:hanging="720"/>
      </w:pPr>
      <w:r w:rsidRPr="00A01EB2">
        <w:rPr>
          <w:rFonts w:cs="Times New Roman"/>
          <w:sz w:val="24"/>
          <w:szCs w:val="24"/>
        </w:rPr>
        <w:t xml:space="preserve">Agency for Healthcare Research and Quality (2023). Tool: DESC. </w:t>
      </w:r>
      <w:hyperlink r:id="rId4" w:history="1">
        <w:r w:rsidRPr="00A01EB2">
          <w:rPr>
            <w:rStyle w:val="Hyperlink"/>
            <w:rFonts w:cs="Times New Roman"/>
            <w:sz w:val="24"/>
            <w:szCs w:val="24"/>
          </w:rPr>
          <w:t>https://www.ahrq.gov/teamstepps-program/curriculum/mutual/tools/desc.html</w:t>
        </w:r>
      </w:hyperlink>
      <w:r w:rsidRPr="00A01EB2">
        <w:t xml:space="preserve"> </w:t>
      </w:r>
    </w:p>
    <w:p w14:paraId="0C1ACCE7" w14:textId="7E2F566A" w:rsidR="00F51C2C" w:rsidRPr="00A01EB2" w:rsidRDefault="00F51C2C" w:rsidP="00F51C2C">
      <w:pPr>
        <w:ind w:left="720" w:hanging="720"/>
        <w:rPr>
          <w:rFonts w:cs="Times New Roman"/>
          <w:color w:val="1B1B1B"/>
          <w:sz w:val="24"/>
          <w:szCs w:val="24"/>
          <w:shd w:val="clear" w:color="auto" w:fill="FFFFFF"/>
        </w:rPr>
      </w:pPr>
      <w:proofErr w:type="spellStart"/>
      <w:r w:rsidRPr="00A01EB2">
        <w:rPr>
          <w:rFonts w:cs="Times New Roman"/>
          <w:color w:val="1B1B1B"/>
          <w:sz w:val="24"/>
          <w:szCs w:val="24"/>
          <w:shd w:val="clear" w:color="auto" w:fill="FFFFFF"/>
        </w:rPr>
        <w:t>Khoshnoodifar</w:t>
      </w:r>
      <w:proofErr w:type="spellEnd"/>
      <w:r w:rsidRPr="00A01EB2">
        <w:rPr>
          <w:rFonts w:cs="Times New Roman"/>
          <w:color w:val="1B1B1B"/>
          <w:sz w:val="24"/>
          <w:szCs w:val="24"/>
          <w:shd w:val="clear" w:color="auto" w:fill="FFFFFF"/>
        </w:rPr>
        <w:t xml:space="preserve">, M., </w:t>
      </w:r>
      <w:proofErr w:type="spellStart"/>
      <w:r w:rsidRPr="00A01EB2">
        <w:rPr>
          <w:rFonts w:cs="Times New Roman"/>
          <w:color w:val="1B1B1B"/>
          <w:sz w:val="24"/>
          <w:szCs w:val="24"/>
          <w:shd w:val="clear" w:color="auto" w:fill="FFFFFF"/>
        </w:rPr>
        <w:t>Emadi</w:t>
      </w:r>
      <w:proofErr w:type="spellEnd"/>
      <w:r w:rsidRPr="00A01EB2">
        <w:rPr>
          <w:rFonts w:cs="Times New Roman"/>
          <w:color w:val="1B1B1B"/>
          <w:sz w:val="24"/>
          <w:szCs w:val="24"/>
          <w:shd w:val="clear" w:color="auto" w:fill="FFFFFF"/>
        </w:rPr>
        <w:t xml:space="preserve">, N., </w:t>
      </w:r>
      <w:proofErr w:type="spellStart"/>
      <w:r w:rsidRPr="00A01EB2">
        <w:rPr>
          <w:rFonts w:cs="Times New Roman"/>
          <w:color w:val="1B1B1B"/>
          <w:sz w:val="24"/>
          <w:szCs w:val="24"/>
          <w:shd w:val="clear" w:color="auto" w:fill="FFFFFF"/>
        </w:rPr>
        <w:t>Mosalanejad</w:t>
      </w:r>
      <w:proofErr w:type="spellEnd"/>
      <w:r w:rsidRPr="00A01EB2">
        <w:rPr>
          <w:rFonts w:cs="Times New Roman"/>
          <w:color w:val="1B1B1B"/>
          <w:sz w:val="24"/>
          <w:szCs w:val="24"/>
          <w:shd w:val="clear" w:color="auto" w:fill="FFFFFF"/>
        </w:rPr>
        <w:t xml:space="preserve">, L., </w:t>
      </w:r>
      <w:proofErr w:type="spellStart"/>
      <w:r w:rsidRPr="00A01EB2">
        <w:rPr>
          <w:rFonts w:cs="Times New Roman"/>
          <w:color w:val="1B1B1B"/>
          <w:sz w:val="24"/>
          <w:szCs w:val="24"/>
          <w:shd w:val="clear" w:color="auto" w:fill="FFFFFF"/>
        </w:rPr>
        <w:t>Maghsoodzadeh</w:t>
      </w:r>
      <w:proofErr w:type="spellEnd"/>
      <w:r w:rsidRPr="00A01EB2">
        <w:rPr>
          <w:rFonts w:cs="Times New Roman"/>
          <w:color w:val="1B1B1B"/>
          <w:sz w:val="24"/>
          <w:szCs w:val="24"/>
          <w:shd w:val="clear" w:color="auto" w:fill="FFFFFF"/>
        </w:rPr>
        <w:t xml:space="preserve">, S., &amp; </w:t>
      </w:r>
      <w:proofErr w:type="spellStart"/>
      <w:r w:rsidRPr="00A01EB2">
        <w:rPr>
          <w:rFonts w:cs="Times New Roman"/>
          <w:color w:val="1B1B1B"/>
          <w:sz w:val="24"/>
          <w:szCs w:val="24"/>
          <w:shd w:val="clear" w:color="auto" w:fill="FFFFFF"/>
        </w:rPr>
        <w:t>Shokrpour</w:t>
      </w:r>
      <w:proofErr w:type="spellEnd"/>
      <w:r w:rsidRPr="00A01EB2">
        <w:rPr>
          <w:rFonts w:cs="Times New Roman"/>
          <w:color w:val="1B1B1B"/>
          <w:sz w:val="24"/>
          <w:szCs w:val="24"/>
          <w:shd w:val="clear" w:color="auto" w:fill="FFFFFF"/>
        </w:rPr>
        <w:t xml:space="preserve">, N. (2024). A new practical approach using </w:t>
      </w:r>
      <w:proofErr w:type="spellStart"/>
      <w:r w:rsidRPr="00A01EB2">
        <w:rPr>
          <w:rFonts w:cs="Times New Roman"/>
          <w:color w:val="1B1B1B"/>
          <w:sz w:val="24"/>
          <w:szCs w:val="24"/>
          <w:shd w:val="clear" w:color="auto" w:fill="FFFFFF"/>
        </w:rPr>
        <w:t>TeamSTEPPS</w:t>
      </w:r>
      <w:proofErr w:type="spellEnd"/>
      <w:r w:rsidRPr="00A01EB2">
        <w:rPr>
          <w:rFonts w:cs="Times New Roman"/>
          <w:color w:val="1B1B1B"/>
          <w:sz w:val="24"/>
          <w:szCs w:val="24"/>
          <w:shd w:val="clear" w:color="auto" w:fill="FFFFFF"/>
        </w:rPr>
        <w:t xml:space="preserve"> strategies and tools: - an educational design. </w:t>
      </w:r>
      <w:r w:rsidRPr="00A01EB2">
        <w:rPr>
          <w:rFonts w:cs="Times New Roman"/>
          <w:i/>
          <w:iCs/>
          <w:color w:val="1B1B1B"/>
          <w:sz w:val="24"/>
          <w:szCs w:val="24"/>
          <w:shd w:val="clear" w:color="auto" w:fill="FFFFFF"/>
        </w:rPr>
        <w:t>BMC medical education</w:t>
      </w:r>
      <w:r w:rsidRPr="00A01EB2">
        <w:rPr>
          <w:rFonts w:cs="Times New Roman"/>
          <w:color w:val="1B1B1B"/>
          <w:sz w:val="24"/>
          <w:szCs w:val="24"/>
          <w:shd w:val="clear" w:color="auto" w:fill="FFFFFF"/>
        </w:rPr>
        <w:t>, </w:t>
      </w:r>
      <w:r w:rsidRPr="00A01EB2">
        <w:rPr>
          <w:rFonts w:cs="Times New Roman"/>
          <w:i/>
          <w:iCs/>
          <w:color w:val="1B1B1B"/>
          <w:sz w:val="24"/>
          <w:szCs w:val="24"/>
          <w:shd w:val="clear" w:color="auto" w:fill="FFFFFF"/>
        </w:rPr>
        <w:t>24</w:t>
      </w:r>
      <w:r w:rsidRPr="00A01EB2">
        <w:rPr>
          <w:rFonts w:cs="Times New Roman"/>
          <w:color w:val="1B1B1B"/>
          <w:sz w:val="24"/>
          <w:szCs w:val="24"/>
          <w:shd w:val="clear" w:color="auto" w:fill="FFFFFF"/>
        </w:rPr>
        <w:t>(1), 22. https://doi.org/10.1186/s12909-023-04803-2</w:t>
      </w:r>
    </w:p>
    <w:p w14:paraId="79130DD3" w14:textId="52EC7172" w:rsidR="00E649FF" w:rsidRPr="00A01EB2" w:rsidRDefault="00E649FF">
      <w:pPr>
        <w:rPr>
          <w:rFonts w:cs="Times New Roman"/>
          <w:color w:val="1B1B1B"/>
          <w:sz w:val="24"/>
          <w:szCs w:val="24"/>
          <w:shd w:val="clear" w:color="auto" w:fill="FFFFFF"/>
        </w:rPr>
      </w:pPr>
      <w:r w:rsidRPr="00A01EB2">
        <w:rPr>
          <w:rFonts w:cs="Times New Roman"/>
          <w:color w:val="1B1B1B"/>
          <w:sz w:val="24"/>
          <w:szCs w:val="24"/>
          <w:shd w:val="clear" w:color="auto" w:fill="FFFFFF"/>
        </w:rPr>
        <w:br w:type="page"/>
      </w:r>
    </w:p>
    <w:p w14:paraId="53C8F4E9" w14:textId="341CEFD3" w:rsidR="00F51C2C" w:rsidRPr="00A01EB2" w:rsidRDefault="00E649FF" w:rsidP="00E649FF">
      <w:pPr>
        <w:rPr>
          <w:rFonts w:cs="Times New Roman"/>
          <w:b/>
          <w:color w:val="1B1B1B"/>
          <w:sz w:val="24"/>
          <w:szCs w:val="24"/>
          <w:shd w:val="clear" w:color="auto" w:fill="FFFFFF"/>
        </w:rPr>
      </w:pPr>
      <w:r w:rsidRPr="00A01EB2">
        <w:rPr>
          <w:rFonts w:cs="Times New Roman"/>
          <w:b/>
          <w:color w:val="1B1B1B"/>
          <w:sz w:val="24"/>
          <w:szCs w:val="24"/>
          <w:shd w:val="clear" w:color="auto" w:fill="FFFFFF"/>
        </w:rPr>
        <w:lastRenderedPageBreak/>
        <w:t>Response to Anton</w:t>
      </w:r>
    </w:p>
    <w:p w14:paraId="552953D8" w14:textId="22EAC1FE" w:rsidR="00E649FF" w:rsidRPr="00A01EB2" w:rsidRDefault="00E649FF" w:rsidP="00E649FF">
      <w:pPr>
        <w:rPr>
          <w:rFonts w:cs="Times New Roman"/>
          <w:color w:val="1B1B1B"/>
          <w:sz w:val="24"/>
          <w:szCs w:val="24"/>
          <w:shd w:val="clear" w:color="auto" w:fill="FFFFFF"/>
        </w:rPr>
      </w:pPr>
      <w:r w:rsidRPr="00A01EB2">
        <w:rPr>
          <w:rFonts w:cs="Times New Roman"/>
          <w:color w:val="1B1B1B"/>
          <w:sz w:val="24"/>
          <w:szCs w:val="24"/>
          <w:shd w:val="clear" w:color="auto" w:fill="FFFFFF"/>
        </w:rPr>
        <w:t xml:space="preserve">Thank you for you clear articulation of the clinical question. As structured, it is explicitly clear that the intervention (teach-back method) would aim at enhancing nurses’ confidence in providing medication </w:t>
      </w:r>
      <w:r w:rsidR="00D67B5F" w:rsidRPr="00A01EB2">
        <w:rPr>
          <w:rFonts w:cs="Times New Roman"/>
          <w:color w:val="1B1B1B"/>
          <w:sz w:val="24"/>
          <w:szCs w:val="24"/>
          <w:shd w:val="clear" w:color="auto" w:fill="FFFFFF"/>
        </w:rPr>
        <w:t>education. Nurses’ failure to educate patients about their medications before administration is a significant cause of medication errors and subsequent nonadherence (</w:t>
      </w:r>
      <w:proofErr w:type="spellStart"/>
      <w:r w:rsidR="00A01EB2" w:rsidRPr="00A01EB2">
        <w:rPr>
          <w:rFonts w:cs="Times New Roman"/>
          <w:color w:val="1B1B1B"/>
          <w:sz w:val="24"/>
          <w:szCs w:val="24"/>
          <w:shd w:val="clear" w:color="auto" w:fill="FFFFFF"/>
        </w:rPr>
        <w:t>Tsegaye</w:t>
      </w:r>
      <w:proofErr w:type="spellEnd"/>
      <w:r w:rsidR="00A01EB2" w:rsidRPr="00A01EB2">
        <w:rPr>
          <w:rFonts w:cs="Times New Roman"/>
          <w:color w:val="1B1B1B"/>
          <w:sz w:val="24"/>
          <w:szCs w:val="24"/>
          <w:shd w:val="clear" w:color="auto" w:fill="FFFFFF"/>
        </w:rPr>
        <w:t xml:space="preserve"> et al., 2020</w:t>
      </w:r>
      <w:r w:rsidR="00D67B5F" w:rsidRPr="00A01EB2">
        <w:rPr>
          <w:rFonts w:cs="Times New Roman"/>
          <w:color w:val="1B1B1B"/>
          <w:sz w:val="24"/>
          <w:szCs w:val="24"/>
          <w:shd w:val="clear" w:color="auto" w:fill="FFFFFF"/>
        </w:rPr>
        <w:t xml:space="preserve">). </w:t>
      </w:r>
      <w:r w:rsidR="003C7EAB" w:rsidRPr="00A01EB2">
        <w:rPr>
          <w:rFonts w:cs="Times New Roman"/>
          <w:color w:val="1B1B1B"/>
          <w:sz w:val="24"/>
          <w:szCs w:val="24"/>
          <w:shd w:val="clear" w:color="auto" w:fill="FFFFFF"/>
        </w:rPr>
        <w:t xml:space="preserve">Implementing a training program for nurses could significantly improve the depth and quality of adherence education they offer to their patients. Indeed, </w:t>
      </w:r>
      <w:r w:rsidR="00A01EB2" w:rsidRPr="00A01EB2">
        <w:rPr>
          <w:rFonts w:cs="Times New Roman"/>
          <w:color w:val="1B1B1B"/>
          <w:sz w:val="24"/>
          <w:szCs w:val="24"/>
          <w:shd w:val="clear" w:color="auto" w:fill="FFFFFF"/>
        </w:rPr>
        <w:t xml:space="preserve">Bowen et al. (2019) </w:t>
      </w:r>
      <w:r w:rsidR="003C7EAB" w:rsidRPr="00A01EB2">
        <w:rPr>
          <w:rFonts w:cs="Times New Roman"/>
          <w:color w:val="1B1B1B"/>
          <w:sz w:val="24"/>
          <w:szCs w:val="24"/>
          <w:shd w:val="clear" w:color="auto" w:fill="FFFFFF"/>
        </w:rPr>
        <w:t xml:space="preserve">recommended leveraging training resources to enhance communication about medications and ensuring they understand the information comprehensively. </w:t>
      </w:r>
      <w:r w:rsidR="00A01EB2" w:rsidRPr="00A01EB2">
        <w:rPr>
          <w:rFonts w:cs="Times New Roman"/>
          <w:color w:val="1B1B1B"/>
          <w:sz w:val="24"/>
          <w:szCs w:val="24"/>
          <w:shd w:val="clear" w:color="auto" w:fill="FFFFFF"/>
        </w:rPr>
        <w:t xml:space="preserve">I believe the knowledge the nurses will acquire from the project you have proposed will be fundamental to improving the overall health and wellbeing of the patient population served. </w:t>
      </w:r>
    </w:p>
    <w:p w14:paraId="7FAD3AB6" w14:textId="58E87A4F" w:rsidR="00A01EB2" w:rsidRPr="00A01EB2" w:rsidRDefault="00A01EB2" w:rsidP="00A01EB2">
      <w:pPr>
        <w:jc w:val="center"/>
        <w:rPr>
          <w:rFonts w:cs="Times New Roman"/>
          <w:b/>
          <w:color w:val="1B1B1B"/>
          <w:sz w:val="24"/>
          <w:szCs w:val="24"/>
          <w:shd w:val="clear" w:color="auto" w:fill="FFFFFF"/>
        </w:rPr>
      </w:pPr>
      <w:r w:rsidRPr="00A01EB2">
        <w:rPr>
          <w:rFonts w:cs="Times New Roman"/>
          <w:b/>
          <w:color w:val="1B1B1B"/>
          <w:sz w:val="24"/>
          <w:szCs w:val="24"/>
          <w:shd w:val="clear" w:color="auto" w:fill="FFFFFF"/>
        </w:rPr>
        <w:t xml:space="preserve">References </w:t>
      </w:r>
    </w:p>
    <w:p w14:paraId="69A915F1" w14:textId="1DB80C30" w:rsidR="00A01EB2" w:rsidRPr="00A01EB2" w:rsidRDefault="00A01EB2" w:rsidP="00A01EB2">
      <w:pPr>
        <w:ind w:left="720" w:hanging="720"/>
        <w:rPr>
          <w:rFonts w:cs="Times New Roman"/>
          <w:color w:val="212121"/>
          <w:sz w:val="24"/>
          <w:szCs w:val="24"/>
          <w:shd w:val="clear" w:color="auto" w:fill="FFFFFF"/>
        </w:rPr>
      </w:pPr>
      <w:r w:rsidRPr="00A01EB2">
        <w:rPr>
          <w:rFonts w:cs="Times New Roman"/>
          <w:color w:val="212121"/>
          <w:sz w:val="24"/>
          <w:szCs w:val="24"/>
          <w:shd w:val="clear" w:color="auto" w:fill="FFFFFF"/>
        </w:rPr>
        <w:t xml:space="preserve">Bowen, J. F., </w:t>
      </w:r>
      <w:proofErr w:type="spellStart"/>
      <w:r w:rsidRPr="00A01EB2">
        <w:rPr>
          <w:rFonts w:cs="Times New Roman"/>
          <w:color w:val="212121"/>
          <w:sz w:val="24"/>
          <w:szCs w:val="24"/>
          <w:shd w:val="clear" w:color="auto" w:fill="FFFFFF"/>
        </w:rPr>
        <w:t>Rotz</w:t>
      </w:r>
      <w:proofErr w:type="spellEnd"/>
      <w:r w:rsidRPr="00A01EB2">
        <w:rPr>
          <w:rFonts w:cs="Times New Roman"/>
          <w:color w:val="212121"/>
          <w:sz w:val="24"/>
          <w:szCs w:val="24"/>
          <w:shd w:val="clear" w:color="auto" w:fill="FFFFFF"/>
        </w:rPr>
        <w:t>, M. E., Patterson, B. J., &amp; Sen, S. (201</w:t>
      </w:r>
      <w:r w:rsidRPr="00A01EB2">
        <w:rPr>
          <w:rFonts w:cs="Times New Roman"/>
          <w:color w:val="212121"/>
          <w:sz w:val="24"/>
          <w:szCs w:val="24"/>
          <w:shd w:val="clear" w:color="auto" w:fill="FFFFFF"/>
        </w:rPr>
        <w:t>9</w:t>
      </w:r>
      <w:r w:rsidRPr="00A01EB2">
        <w:rPr>
          <w:rFonts w:cs="Times New Roman"/>
          <w:color w:val="212121"/>
          <w:sz w:val="24"/>
          <w:szCs w:val="24"/>
          <w:shd w:val="clear" w:color="auto" w:fill="FFFFFF"/>
        </w:rPr>
        <w:t>). Nurses' attitudes and behaviors on patient medication education. </w:t>
      </w:r>
      <w:r w:rsidRPr="00A01EB2">
        <w:rPr>
          <w:rFonts w:cs="Times New Roman"/>
          <w:i/>
          <w:iCs/>
          <w:color w:val="212121"/>
          <w:sz w:val="24"/>
          <w:szCs w:val="24"/>
          <w:shd w:val="clear" w:color="auto" w:fill="FFFFFF"/>
        </w:rPr>
        <w:t xml:space="preserve">Pharmacy </w:t>
      </w:r>
      <w:r w:rsidRPr="00A01EB2">
        <w:rPr>
          <w:rFonts w:cs="Times New Roman"/>
          <w:i/>
          <w:iCs/>
          <w:color w:val="212121"/>
          <w:sz w:val="24"/>
          <w:szCs w:val="24"/>
          <w:shd w:val="clear" w:color="auto" w:fill="FFFFFF"/>
        </w:rPr>
        <w:t>Practice</w:t>
      </w:r>
      <w:r w:rsidRPr="00A01EB2">
        <w:rPr>
          <w:rFonts w:cs="Times New Roman"/>
          <w:color w:val="212121"/>
          <w:sz w:val="24"/>
          <w:szCs w:val="24"/>
          <w:shd w:val="clear" w:color="auto" w:fill="FFFFFF"/>
        </w:rPr>
        <w:t>, </w:t>
      </w:r>
      <w:r w:rsidRPr="00A01EB2">
        <w:rPr>
          <w:rFonts w:cs="Times New Roman"/>
          <w:i/>
          <w:iCs/>
          <w:color w:val="212121"/>
          <w:sz w:val="24"/>
          <w:szCs w:val="24"/>
          <w:shd w:val="clear" w:color="auto" w:fill="FFFFFF"/>
        </w:rPr>
        <w:t>15</w:t>
      </w:r>
      <w:r w:rsidRPr="00A01EB2">
        <w:rPr>
          <w:rFonts w:cs="Times New Roman"/>
          <w:color w:val="212121"/>
          <w:sz w:val="24"/>
          <w:szCs w:val="24"/>
          <w:shd w:val="clear" w:color="auto" w:fill="FFFFFF"/>
        </w:rPr>
        <w:t>(2), 930. https://doi.org/10.18549/PharmPract.2017.02.930</w:t>
      </w:r>
    </w:p>
    <w:p w14:paraId="39704ADA" w14:textId="31FFA9BB" w:rsidR="00A01EB2" w:rsidRPr="00A01EB2" w:rsidRDefault="00A01EB2" w:rsidP="00A01EB2">
      <w:pPr>
        <w:ind w:left="720" w:hanging="720"/>
        <w:rPr>
          <w:rFonts w:cs="Times New Roman"/>
          <w:b/>
          <w:color w:val="1B1B1B"/>
          <w:sz w:val="24"/>
          <w:szCs w:val="24"/>
          <w:shd w:val="clear" w:color="auto" w:fill="FFFFFF"/>
        </w:rPr>
      </w:pPr>
      <w:proofErr w:type="spellStart"/>
      <w:r w:rsidRPr="00A01EB2">
        <w:rPr>
          <w:rFonts w:cs="Times New Roman"/>
          <w:color w:val="1B1B1B"/>
          <w:sz w:val="24"/>
          <w:szCs w:val="24"/>
          <w:shd w:val="clear" w:color="auto" w:fill="FFFFFF"/>
        </w:rPr>
        <w:t>Tsegaye</w:t>
      </w:r>
      <w:proofErr w:type="spellEnd"/>
      <w:r w:rsidRPr="00A01EB2">
        <w:rPr>
          <w:rFonts w:cs="Times New Roman"/>
          <w:color w:val="1B1B1B"/>
          <w:sz w:val="24"/>
          <w:szCs w:val="24"/>
          <w:shd w:val="clear" w:color="auto" w:fill="FFFFFF"/>
        </w:rPr>
        <w:t xml:space="preserve">, D., </w:t>
      </w:r>
      <w:proofErr w:type="spellStart"/>
      <w:r w:rsidRPr="00A01EB2">
        <w:rPr>
          <w:rFonts w:cs="Times New Roman"/>
          <w:color w:val="1B1B1B"/>
          <w:sz w:val="24"/>
          <w:szCs w:val="24"/>
          <w:shd w:val="clear" w:color="auto" w:fill="FFFFFF"/>
        </w:rPr>
        <w:t>Alem</w:t>
      </w:r>
      <w:proofErr w:type="spellEnd"/>
      <w:r w:rsidRPr="00A01EB2">
        <w:rPr>
          <w:rFonts w:cs="Times New Roman"/>
          <w:color w:val="1B1B1B"/>
          <w:sz w:val="24"/>
          <w:szCs w:val="24"/>
          <w:shd w:val="clear" w:color="auto" w:fill="FFFFFF"/>
        </w:rPr>
        <w:t xml:space="preserve">, G., </w:t>
      </w:r>
      <w:proofErr w:type="spellStart"/>
      <w:r w:rsidRPr="00A01EB2">
        <w:rPr>
          <w:rFonts w:cs="Times New Roman"/>
          <w:color w:val="1B1B1B"/>
          <w:sz w:val="24"/>
          <w:szCs w:val="24"/>
          <w:shd w:val="clear" w:color="auto" w:fill="FFFFFF"/>
        </w:rPr>
        <w:t>Tessema</w:t>
      </w:r>
      <w:proofErr w:type="spellEnd"/>
      <w:r w:rsidRPr="00A01EB2">
        <w:rPr>
          <w:rFonts w:cs="Times New Roman"/>
          <w:color w:val="1B1B1B"/>
          <w:sz w:val="24"/>
          <w:szCs w:val="24"/>
          <w:shd w:val="clear" w:color="auto" w:fill="FFFFFF"/>
        </w:rPr>
        <w:t xml:space="preserve">, Z., &amp; </w:t>
      </w:r>
      <w:proofErr w:type="spellStart"/>
      <w:r w:rsidRPr="00A01EB2">
        <w:rPr>
          <w:rFonts w:cs="Times New Roman"/>
          <w:color w:val="1B1B1B"/>
          <w:sz w:val="24"/>
          <w:szCs w:val="24"/>
          <w:shd w:val="clear" w:color="auto" w:fill="FFFFFF"/>
        </w:rPr>
        <w:t>Alebachew</w:t>
      </w:r>
      <w:proofErr w:type="spellEnd"/>
      <w:r w:rsidRPr="00A01EB2">
        <w:rPr>
          <w:rFonts w:cs="Times New Roman"/>
          <w:color w:val="1B1B1B"/>
          <w:sz w:val="24"/>
          <w:szCs w:val="24"/>
          <w:shd w:val="clear" w:color="auto" w:fill="FFFFFF"/>
        </w:rPr>
        <w:t>, W. (2020). Medication A</w:t>
      </w:r>
      <w:r w:rsidRPr="00A01EB2">
        <w:rPr>
          <w:rFonts w:cs="Times New Roman"/>
          <w:color w:val="1B1B1B"/>
          <w:sz w:val="24"/>
          <w:szCs w:val="24"/>
          <w:shd w:val="clear" w:color="auto" w:fill="FFFFFF"/>
        </w:rPr>
        <w:t>dministration errors and associated factors among nurses</w:t>
      </w:r>
      <w:r w:rsidRPr="00A01EB2">
        <w:rPr>
          <w:rFonts w:cs="Times New Roman"/>
          <w:color w:val="1B1B1B"/>
          <w:sz w:val="24"/>
          <w:szCs w:val="24"/>
          <w:shd w:val="clear" w:color="auto" w:fill="FFFFFF"/>
        </w:rPr>
        <w:t>. </w:t>
      </w:r>
      <w:r w:rsidRPr="00A01EB2">
        <w:rPr>
          <w:rFonts w:cs="Times New Roman"/>
          <w:i/>
          <w:iCs/>
          <w:color w:val="1B1B1B"/>
          <w:sz w:val="24"/>
          <w:szCs w:val="24"/>
          <w:shd w:val="clear" w:color="auto" w:fill="FFFFFF"/>
        </w:rPr>
        <w:t xml:space="preserve">International </w:t>
      </w:r>
      <w:r w:rsidRPr="00A01EB2">
        <w:rPr>
          <w:rFonts w:cs="Times New Roman"/>
          <w:i/>
          <w:iCs/>
          <w:color w:val="1B1B1B"/>
          <w:sz w:val="24"/>
          <w:szCs w:val="24"/>
          <w:shd w:val="clear" w:color="auto" w:fill="FFFFFF"/>
        </w:rPr>
        <w:t xml:space="preserve">Journal </w:t>
      </w:r>
      <w:r w:rsidRPr="00A01EB2">
        <w:rPr>
          <w:rFonts w:cs="Times New Roman"/>
          <w:i/>
          <w:iCs/>
          <w:color w:val="1B1B1B"/>
          <w:sz w:val="24"/>
          <w:szCs w:val="24"/>
          <w:shd w:val="clear" w:color="auto" w:fill="FFFFFF"/>
        </w:rPr>
        <w:t xml:space="preserve">of </w:t>
      </w:r>
      <w:r w:rsidRPr="00A01EB2">
        <w:rPr>
          <w:rFonts w:cs="Times New Roman"/>
          <w:i/>
          <w:iCs/>
          <w:color w:val="1B1B1B"/>
          <w:sz w:val="24"/>
          <w:szCs w:val="24"/>
          <w:shd w:val="clear" w:color="auto" w:fill="FFFFFF"/>
        </w:rPr>
        <w:t>General Medicine</w:t>
      </w:r>
      <w:r w:rsidRPr="00A01EB2">
        <w:rPr>
          <w:rFonts w:cs="Times New Roman"/>
          <w:color w:val="1B1B1B"/>
          <w:sz w:val="24"/>
          <w:szCs w:val="24"/>
          <w:shd w:val="clear" w:color="auto" w:fill="FFFFFF"/>
        </w:rPr>
        <w:t>, </w:t>
      </w:r>
      <w:r w:rsidRPr="00A01EB2">
        <w:rPr>
          <w:rFonts w:cs="Times New Roman"/>
          <w:i/>
          <w:iCs/>
          <w:color w:val="1B1B1B"/>
          <w:sz w:val="24"/>
          <w:szCs w:val="24"/>
          <w:shd w:val="clear" w:color="auto" w:fill="FFFFFF"/>
        </w:rPr>
        <w:t>13</w:t>
      </w:r>
      <w:r w:rsidRPr="00A01EB2">
        <w:rPr>
          <w:rFonts w:cs="Times New Roman"/>
          <w:color w:val="1B1B1B"/>
          <w:sz w:val="24"/>
          <w:szCs w:val="24"/>
          <w:shd w:val="clear" w:color="auto" w:fill="FFFFFF"/>
        </w:rPr>
        <w:t>, 1621–1632. https://doi.org/10.2147/IJGM.S289452</w:t>
      </w:r>
    </w:p>
    <w:sectPr w:rsidR="00A01EB2" w:rsidRPr="00A01E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2C3"/>
    <w:rsid w:val="000042C3"/>
    <w:rsid w:val="00271A3A"/>
    <w:rsid w:val="002B2C5D"/>
    <w:rsid w:val="002F175F"/>
    <w:rsid w:val="003C1F28"/>
    <w:rsid w:val="003C7EAB"/>
    <w:rsid w:val="00931576"/>
    <w:rsid w:val="00A01EB2"/>
    <w:rsid w:val="00D67B5F"/>
    <w:rsid w:val="00E649FF"/>
    <w:rsid w:val="00F51C2C"/>
    <w:rsid w:val="00F52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E1788"/>
  <w15:chartTrackingRefBased/>
  <w15:docId w15:val="{9218F82E-CBD2-4F7E-A866-EAE70E27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42C3"/>
    <w:rPr>
      <w:color w:val="0563C1" w:themeColor="hyperlink"/>
      <w:u w:val="single"/>
    </w:rPr>
  </w:style>
  <w:style w:type="character" w:styleId="UnresolvedMention">
    <w:name w:val="Unresolved Mention"/>
    <w:basedOn w:val="DefaultParagraphFont"/>
    <w:uiPriority w:val="99"/>
    <w:semiHidden/>
    <w:unhideWhenUsed/>
    <w:rsid w:val="000042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hrq.gov/teamstepps-program/curriculum/mutual/tools/des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2024-10-18T03:33:00Z</dcterms:created>
  <dcterms:modified xsi:type="dcterms:W3CDTF">2024-10-18T04:56:00Z</dcterms:modified>
</cp:coreProperties>
</file>