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087FD" w14:textId="77777777" w:rsidR="00002EF6" w:rsidRDefault="00002EF6" w:rsidP="00002EF6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9B644F5" w14:textId="77777777" w:rsidR="00002EF6" w:rsidRDefault="00002EF6" w:rsidP="00002EF6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6F74086" w14:textId="77777777" w:rsidR="00002EF6" w:rsidRDefault="00002EF6" w:rsidP="00002EF6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90C35AC" w14:textId="77777777" w:rsidR="00002EF6" w:rsidRDefault="00002EF6" w:rsidP="00002EF6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E5B4A86" w14:textId="77777777" w:rsidR="00002EF6" w:rsidRDefault="00002EF6" w:rsidP="00002EF6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5B289ED" w14:textId="77777777" w:rsidR="00002EF6" w:rsidRDefault="00002EF6" w:rsidP="00002EF6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989DB5B" w14:textId="77777777" w:rsidR="00002EF6" w:rsidRDefault="00002EF6" w:rsidP="00002EF6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F7D960C" w14:textId="77777777" w:rsidR="00002EF6" w:rsidRDefault="00002EF6" w:rsidP="00002EF6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13E8A24" w14:textId="3FF2300A" w:rsidR="00002EF6" w:rsidRDefault="00002EF6" w:rsidP="00002EF6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Annotated Bibliography</w:t>
      </w:r>
    </w:p>
    <w:p w14:paraId="4929B5D7" w14:textId="6031DA83" w:rsidR="00002EF6" w:rsidRDefault="00002EF6" w:rsidP="00002EF6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398B285" w14:textId="7F793129" w:rsidR="00002EF6" w:rsidRDefault="00002EF6" w:rsidP="00002EF6">
      <w:pPr>
        <w:ind w:left="720" w:hanging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Name</w:t>
      </w:r>
    </w:p>
    <w:p w14:paraId="0390113C" w14:textId="0EFC0AB1" w:rsidR="00002EF6" w:rsidRDefault="00002EF6" w:rsidP="00002EF6">
      <w:pPr>
        <w:ind w:left="720" w:hanging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School Affiliation</w:t>
      </w:r>
    </w:p>
    <w:p w14:paraId="7632E13E" w14:textId="36EB902C" w:rsidR="00002EF6" w:rsidRDefault="00002EF6" w:rsidP="00002EF6">
      <w:pPr>
        <w:ind w:left="720" w:hanging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Course</w:t>
      </w:r>
    </w:p>
    <w:p w14:paraId="0606AE7F" w14:textId="04D1673C" w:rsidR="00002EF6" w:rsidRDefault="00002EF6" w:rsidP="00002EF6">
      <w:pPr>
        <w:ind w:left="720" w:hanging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Instructor</w:t>
      </w:r>
    </w:p>
    <w:p w14:paraId="70720FC2" w14:textId="3ECEFC76" w:rsidR="00002EF6" w:rsidRDefault="00002EF6" w:rsidP="00002EF6">
      <w:pPr>
        <w:ind w:left="720" w:hanging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Date Due</w:t>
      </w:r>
    </w:p>
    <w:p w14:paraId="25B80B31" w14:textId="209225DA" w:rsidR="00002EF6" w:rsidRDefault="00002EF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14:paraId="21C2E7E0" w14:textId="4D464162" w:rsidR="00002EF6" w:rsidRPr="00002EF6" w:rsidRDefault="00002EF6" w:rsidP="00002EF6">
      <w:pPr>
        <w:ind w:left="720" w:hanging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Annotated Bibliography</w:t>
      </w:r>
      <w:bookmarkStart w:id="0" w:name="_GoBack"/>
      <w:bookmarkEnd w:id="0"/>
    </w:p>
    <w:p w14:paraId="34111013" w14:textId="45044E59" w:rsidR="002F175F" w:rsidRDefault="00100FB1" w:rsidP="00100FB1">
      <w:pPr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00FB1">
        <w:rPr>
          <w:rFonts w:ascii="Times New Roman" w:hAnsi="Times New Roman" w:cs="Times New Roman"/>
          <w:sz w:val="24"/>
          <w:szCs w:val="24"/>
          <w:shd w:val="clear" w:color="auto" w:fill="FFFFFF"/>
        </w:rPr>
        <w:t>Rezaianzadeh</w:t>
      </w:r>
      <w:proofErr w:type="spellEnd"/>
      <w:r w:rsidRPr="00100F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100FB1">
        <w:rPr>
          <w:rFonts w:ascii="Times New Roman" w:hAnsi="Times New Roman" w:cs="Times New Roman"/>
          <w:sz w:val="24"/>
          <w:szCs w:val="24"/>
          <w:shd w:val="clear" w:color="auto" w:fill="FFFFFF"/>
        </w:rPr>
        <w:t>Ghorbani</w:t>
      </w:r>
      <w:proofErr w:type="spellEnd"/>
      <w:r w:rsidRPr="00100F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100FB1">
        <w:rPr>
          <w:rFonts w:ascii="Times New Roman" w:hAnsi="Times New Roman" w:cs="Times New Roman"/>
          <w:sz w:val="24"/>
          <w:szCs w:val="24"/>
          <w:shd w:val="clear" w:color="auto" w:fill="FFFFFF"/>
        </w:rPr>
        <w:t>Rezaeian</w:t>
      </w:r>
      <w:proofErr w:type="spellEnd"/>
      <w:r w:rsidRPr="00100F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&amp; </w:t>
      </w:r>
      <w:proofErr w:type="spellStart"/>
      <w:r w:rsidRPr="00100FB1">
        <w:rPr>
          <w:rFonts w:ascii="Times New Roman" w:hAnsi="Times New Roman" w:cs="Times New Roman"/>
          <w:sz w:val="24"/>
          <w:szCs w:val="24"/>
          <w:shd w:val="clear" w:color="auto" w:fill="FFFFFF"/>
        </w:rPr>
        <w:t>Kassani</w:t>
      </w:r>
      <w:proofErr w:type="spellEnd"/>
      <w:r w:rsidRPr="00100F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(2018). Red </w:t>
      </w:r>
      <w:r w:rsidRPr="00100F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meat consumption and breast cancer risk in premenopausal women: </w:t>
      </w:r>
      <w:r w:rsidRPr="00100F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100F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systematic review and meta-analysis </w:t>
      </w:r>
      <w:r w:rsidRPr="00100F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(PDF). </w:t>
      </w:r>
      <w:r w:rsidRPr="00100FB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Middle East Journal of Cancer</w:t>
      </w:r>
      <w:r w:rsidRPr="00100FB1">
        <w:rPr>
          <w:rFonts w:ascii="Times New Roman" w:hAnsi="Times New Roman" w:cs="Times New Roman"/>
          <w:sz w:val="24"/>
          <w:szCs w:val="24"/>
          <w:shd w:val="clear" w:color="auto" w:fill="FFFFFF"/>
        </w:rPr>
        <w:t>, 9(1), 5–12</w:t>
      </w:r>
      <w:r w:rsidRPr="00100FB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1F65CED" w14:textId="39BE0D9A" w:rsidR="00100FB1" w:rsidRDefault="00100FB1" w:rsidP="00EE490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meta-analysis investigates the impact of read meat consumption on the risk of breast cancer among premenopausal women.</w:t>
      </w:r>
      <w:r w:rsidR="00F60550">
        <w:rPr>
          <w:rFonts w:ascii="Times New Roman" w:hAnsi="Times New Roman" w:cs="Times New Roman"/>
          <w:sz w:val="24"/>
          <w:szCs w:val="24"/>
        </w:rPr>
        <w:t xml:space="preserve"> In the study, </w:t>
      </w:r>
      <w:proofErr w:type="spellStart"/>
      <w:r w:rsidR="00EE4900">
        <w:rPr>
          <w:rFonts w:ascii="Times New Roman" w:hAnsi="Times New Roman" w:cs="Times New Roman"/>
          <w:sz w:val="24"/>
          <w:szCs w:val="24"/>
        </w:rPr>
        <w:t>R</w:t>
      </w:r>
      <w:r w:rsidR="00F60550">
        <w:rPr>
          <w:rFonts w:ascii="Times New Roman" w:hAnsi="Times New Roman" w:cs="Times New Roman"/>
          <w:sz w:val="24"/>
          <w:szCs w:val="24"/>
        </w:rPr>
        <w:t>ezaianzadeh</w:t>
      </w:r>
      <w:proofErr w:type="spellEnd"/>
      <w:r w:rsidR="00F60550">
        <w:rPr>
          <w:rFonts w:ascii="Times New Roman" w:hAnsi="Times New Roman" w:cs="Times New Roman"/>
          <w:sz w:val="24"/>
          <w:szCs w:val="24"/>
        </w:rPr>
        <w:t xml:space="preserve"> et al. (2018) included 17 studies, including nine case-control and eight cohort studies with a population of 26,675 cases and 943,557 controls. Relative</w:t>
      </w:r>
      <w:r w:rsidR="00482BD5">
        <w:rPr>
          <w:rFonts w:ascii="Times New Roman" w:hAnsi="Times New Roman" w:cs="Times New Roman"/>
          <w:sz w:val="24"/>
          <w:szCs w:val="24"/>
        </w:rPr>
        <w:t xml:space="preserve"> risk (RR) was used to explain the relationship</w:t>
      </w:r>
      <w:r w:rsidR="00000D15">
        <w:rPr>
          <w:rFonts w:ascii="Times New Roman" w:hAnsi="Times New Roman" w:cs="Times New Roman"/>
          <w:sz w:val="24"/>
          <w:szCs w:val="24"/>
        </w:rPr>
        <w:t xml:space="preserve"> between dietary risk factors for breast cancer. The calculation involved random-effects model that would accommodate differences across the studies. RR compares the probability of developing breast cancer among premenopausal women contingent upon meat consumption behavior. </w:t>
      </w:r>
      <w:r w:rsidR="00393F31">
        <w:rPr>
          <w:rFonts w:ascii="Times New Roman" w:hAnsi="Times New Roman" w:cs="Times New Roman"/>
          <w:sz w:val="24"/>
          <w:szCs w:val="24"/>
        </w:rPr>
        <w:t>The pooled RR from the analyzed studies (RR</w:t>
      </w:r>
      <w:r w:rsidR="00415533">
        <w:rPr>
          <w:rFonts w:ascii="Times New Roman" w:hAnsi="Times New Roman" w:cs="Times New Roman"/>
          <w:sz w:val="24"/>
          <w:szCs w:val="24"/>
        </w:rPr>
        <w:t>:</w:t>
      </w:r>
      <w:r w:rsidR="00393F31">
        <w:rPr>
          <w:rFonts w:ascii="Times New Roman" w:hAnsi="Times New Roman" w:cs="Times New Roman"/>
          <w:sz w:val="24"/>
          <w:szCs w:val="24"/>
        </w:rPr>
        <w:t xml:space="preserve"> 1.269; 95% CI: 1.17 – 1.441) reveal a positive association between breast cancer risk and red meat consumption. </w:t>
      </w:r>
    </w:p>
    <w:p w14:paraId="4994F62E" w14:textId="2F392DF6" w:rsidR="00393F31" w:rsidRDefault="00393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5533">
        <w:rPr>
          <w:rFonts w:ascii="Times New Roman" w:hAnsi="Times New Roman" w:cs="Times New Roman"/>
          <w:sz w:val="24"/>
          <w:szCs w:val="24"/>
        </w:rPr>
        <w:t>The RR differed pertinent to the research design. Specifically, cohort studies revealed a weaker association (RR: 1.087, 95% CI: 0.999 – 1.183) than case control studies (RR: 1.548, 95% CI: 1.255 – 1.909). The difference underscores the effect of research design in determining associations between exposure and outcomes</w:t>
      </w:r>
      <w:r w:rsidR="008A4DF1">
        <w:rPr>
          <w:rFonts w:ascii="Times New Roman" w:hAnsi="Times New Roman" w:cs="Times New Roman"/>
          <w:sz w:val="24"/>
          <w:szCs w:val="24"/>
        </w:rPr>
        <w:t xml:space="preserve">. While the case-controls reveal a stronger association, the findings are subject to bias and confounding. </w:t>
      </w:r>
      <w:r w:rsidR="006932F6">
        <w:rPr>
          <w:rFonts w:ascii="Times New Roman" w:hAnsi="Times New Roman" w:cs="Times New Roman"/>
          <w:sz w:val="24"/>
          <w:szCs w:val="24"/>
        </w:rPr>
        <w:t>O</w:t>
      </w:r>
      <w:r w:rsidR="008A4DF1">
        <w:rPr>
          <w:rFonts w:ascii="Times New Roman" w:hAnsi="Times New Roman" w:cs="Times New Roman"/>
          <w:sz w:val="24"/>
          <w:szCs w:val="24"/>
        </w:rPr>
        <w:t>utcome-dependent sampling in case-control studies increases the risk of selection bias</w:t>
      </w:r>
      <w:r w:rsidR="006932F6">
        <w:rPr>
          <w:rFonts w:ascii="Times New Roman" w:hAnsi="Times New Roman" w:cs="Times New Roman"/>
          <w:sz w:val="24"/>
          <w:szCs w:val="24"/>
        </w:rPr>
        <w:t>, while a range of confounders may affect the exposure-outcome relationship significantly (</w:t>
      </w:r>
      <w:proofErr w:type="spellStart"/>
      <w:r w:rsidR="00EE4900">
        <w:rPr>
          <w:rFonts w:ascii="Times New Roman" w:hAnsi="Times New Roman" w:cs="Times New Roman"/>
          <w:sz w:val="24"/>
          <w:szCs w:val="24"/>
        </w:rPr>
        <w:t>Iwagami</w:t>
      </w:r>
      <w:proofErr w:type="spellEnd"/>
      <w:r w:rsidR="00EE4900">
        <w:rPr>
          <w:rFonts w:ascii="Times New Roman" w:hAnsi="Times New Roman" w:cs="Times New Roman"/>
          <w:sz w:val="24"/>
          <w:szCs w:val="24"/>
        </w:rPr>
        <w:t xml:space="preserve"> &amp; Shinozaki, 2022</w:t>
      </w:r>
      <w:r w:rsidR="006932F6">
        <w:rPr>
          <w:rFonts w:ascii="Times New Roman" w:hAnsi="Times New Roman" w:cs="Times New Roman"/>
          <w:sz w:val="24"/>
          <w:szCs w:val="24"/>
        </w:rPr>
        <w:t xml:space="preserve">). Therefore, the RR found in the </w:t>
      </w:r>
      <w:r w:rsidR="00DE7B67">
        <w:rPr>
          <w:rFonts w:ascii="Times New Roman" w:hAnsi="Times New Roman" w:cs="Times New Roman"/>
          <w:sz w:val="24"/>
          <w:szCs w:val="24"/>
        </w:rPr>
        <w:t xml:space="preserve">cohort studies may provide a </w:t>
      </w:r>
      <w:proofErr w:type="spellStart"/>
      <w:r w:rsidR="00DE7B6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E7B67">
        <w:rPr>
          <w:rFonts w:ascii="Times New Roman" w:hAnsi="Times New Roman" w:cs="Times New Roman"/>
          <w:sz w:val="24"/>
          <w:szCs w:val="24"/>
        </w:rPr>
        <w:t xml:space="preserve"> stronger explanation of the relationship. As supported by</w:t>
      </w:r>
      <w:r w:rsidR="00002EF6">
        <w:rPr>
          <w:rFonts w:ascii="Times New Roman" w:hAnsi="Times New Roman" w:cs="Times New Roman"/>
          <w:sz w:val="24"/>
          <w:szCs w:val="24"/>
        </w:rPr>
        <w:t xml:space="preserve"> Gamble (2024)</w:t>
      </w:r>
      <w:r w:rsidR="00DE7B67">
        <w:rPr>
          <w:rFonts w:ascii="Times New Roman" w:hAnsi="Times New Roman" w:cs="Times New Roman"/>
          <w:sz w:val="24"/>
          <w:szCs w:val="24"/>
        </w:rPr>
        <w:t xml:space="preserve">, this could be related to cohort matching to reduce confounding </w:t>
      </w:r>
      <w:r w:rsidR="00DE7B67">
        <w:rPr>
          <w:rFonts w:ascii="Times New Roman" w:hAnsi="Times New Roman" w:cs="Times New Roman"/>
          <w:sz w:val="24"/>
          <w:szCs w:val="24"/>
        </w:rPr>
        <w:lastRenderedPageBreak/>
        <w:t xml:space="preserve">effects and reduces biases. The differences identified show he influence of a study design in determining associations in epidemiology. </w:t>
      </w:r>
    </w:p>
    <w:p w14:paraId="52EF4A1E" w14:textId="385E0BB8" w:rsidR="00DE7B67" w:rsidRDefault="00DE7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RR was statistically significant only in case-control studies (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= 0.002), with cohort studies not showing a statistically significant relationship (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= 1.183). The stronger association in ca</w:t>
      </w:r>
      <w:r w:rsidR="005B442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e-control studies could be </w:t>
      </w:r>
      <w:r w:rsidR="005B4420">
        <w:rPr>
          <w:rFonts w:ascii="Times New Roman" w:hAnsi="Times New Roman" w:cs="Times New Roman"/>
          <w:sz w:val="24"/>
          <w:szCs w:val="24"/>
        </w:rPr>
        <w:t>linked to the variability of dietary exposures. Conversely, the limited power in the cohort studies could be linked to variability in red meat consumption that would lead to rime-related biases (</w:t>
      </w:r>
      <w:proofErr w:type="spellStart"/>
      <w:r w:rsidR="00002EF6" w:rsidRPr="00002EF6">
        <w:rPr>
          <w:rFonts w:ascii="Times New Roman" w:hAnsi="Times New Roman" w:cs="Times New Roman"/>
          <w:sz w:val="24"/>
          <w:szCs w:val="24"/>
          <w:shd w:val="clear" w:color="auto" w:fill="FFFFFF"/>
        </w:rPr>
        <w:t>Pottegård</w:t>
      </w:r>
      <w:proofErr w:type="spellEnd"/>
      <w:r w:rsidR="00002EF6">
        <w:rPr>
          <w:rFonts w:ascii="Times New Roman" w:hAnsi="Times New Roman" w:cs="Times New Roman"/>
          <w:sz w:val="24"/>
          <w:szCs w:val="24"/>
          <w:shd w:val="clear" w:color="auto" w:fill="FFFFFF"/>
        </w:rPr>
        <w:t>, 2022</w:t>
      </w:r>
      <w:r w:rsidR="005B4420">
        <w:rPr>
          <w:rFonts w:ascii="Times New Roman" w:hAnsi="Times New Roman" w:cs="Times New Roman"/>
          <w:sz w:val="24"/>
          <w:szCs w:val="24"/>
        </w:rPr>
        <w:t xml:space="preserve">). One of the key results from the study is that consuming red meat increases the risk of breast cancer by 27% among premenopausal women. Secondly, the study reveals design-specific differences in explaining exposure-outcome relationships. </w:t>
      </w:r>
    </w:p>
    <w:p w14:paraId="45ABD925" w14:textId="2B51C578" w:rsidR="005B4420" w:rsidRDefault="005B4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Analyzing and applying the findings from the meta-analysis can significantly inform DNP-prepared nurses’ practice. For instance, understanding diet as a risk factor for breast cancer can lay the foundation for preventive dietary interventions for the predisposed group. DNP-prepared nurses can also use the findings to design health promotion programs tailored for the cohort. In retrospect,</w:t>
      </w:r>
      <w:r w:rsidR="00EE4900">
        <w:rPr>
          <w:rFonts w:ascii="Times New Roman" w:hAnsi="Times New Roman" w:cs="Times New Roman"/>
          <w:sz w:val="24"/>
          <w:szCs w:val="24"/>
        </w:rPr>
        <w:t xml:space="preserve"> the study has augmented my understanding regarding the intersection of nutrition and cancer risk. Moreover,</w:t>
      </w:r>
      <w:r>
        <w:rPr>
          <w:rFonts w:ascii="Times New Roman" w:hAnsi="Times New Roman" w:cs="Times New Roman"/>
          <w:sz w:val="24"/>
          <w:szCs w:val="24"/>
        </w:rPr>
        <w:t xml:space="preserve"> completing the annotated bibliography has brought significant insights into the d</w:t>
      </w:r>
      <w:r w:rsidR="00DF1CFB">
        <w:rPr>
          <w:rFonts w:ascii="Times New Roman" w:hAnsi="Times New Roman" w:cs="Times New Roman"/>
          <w:sz w:val="24"/>
          <w:szCs w:val="24"/>
        </w:rPr>
        <w:t xml:space="preserve">esign-specific differences in estimating risk of a health condition. As revealed in the discussion, interpreting findings from cohort or case-control studies requires acknowledging the sources of bias and confounding that may </w:t>
      </w:r>
      <w:r w:rsidR="00002EF6">
        <w:rPr>
          <w:rFonts w:ascii="Times New Roman" w:hAnsi="Times New Roman" w:cs="Times New Roman"/>
          <w:sz w:val="24"/>
          <w:szCs w:val="24"/>
        </w:rPr>
        <w:t xml:space="preserve">cause </w:t>
      </w:r>
      <w:r w:rsidR="00DF1CFB">
        <w:rPr>
          <w:rFonts w:ascii="Times New Roman" w:hAnsi="Times New Roman" w:cs="Times New Roman"/>
          <w:sz w:val="24"/>
          <w:szCs w:val="24"/>
        </w:rPr>
        <w:t xml:space="preserve">an overestimation of the association. </w:t>
      </w:r>
      <w:r w:rsidR="00EE4900">
        <w:rPr>
          <w:rFonts w:ascii="Times New Roman" w:hAnsi="Times New Roman" w:cs="Times New Roman"/>
          <w:sz w:val="24"/>
          <w:szCs w:val="24"/>
        </w:rPr>
        <w:t>Using this evidence in practice can help in developing tailored population-level solutions to reduce the risk.</w:t>
      </w:r>
    </w:p>
    <w:p w14:paraId="22B96ADE" w14:textId="3E457ED8" w:rsidR="00EE4900" w:rsidRDefault="00EE4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200727" w14:textId="3F653615" w:rsidR="00EE4900" w:rsidRDefault="00EE4900" w:rsidP="00EE49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References </w:t>
      </w:r>
    </w:p>
    <w:p w14:paraId="3C0FDEA1" w14:textId="77777777" w:rsidR="00002EF6" w:rsidRPr="00002EF6" w:rsidRDefault="00002EF6" w:rsidP="00EE4900">
      <w:pPr>
        <w:ind w:left="720" w:hanging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002E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Gamble J. M. (20</w:t>
      </w:r>
      <w:r w:rsidRPr="00002E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2</w:t>
      </w:r>
      <w:r w:rsidRPr="00002E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4). An introduction to the fundamentals of cohort and case-control studies. </w:t>
      </w:r>
      <w:r w:rsidRPr="00002EF6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 xml:space="preserve">The Canadian </w:t>
      </w:r>
      <w:r w:rsidRPr="00002EF6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 xml:space="preserve">Journal </w:t>
      </w:r>
      <w:r w:rsidRPr="00002EF6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 xml:space="preserve">of </w:t>
      </w:r>
      <w:r w:rsidRPr="00002EF6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Hospital Pharmacy</w:t>
      </w:r>
      <w:r w:rsidRPr="00002E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002EF6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67</w:t>
      </w:r>
      <w:r w:rsidRPr="00002E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(5), 366–372. </w:t>
      </w:r>
      <w:hyperlink r:id="rId6" w:history="1">
        <w:r w:rsidRPr="00002E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https://doi.org/10.4212/cjhp.v67i5.1391</w:t>
        </w:r>
      </w:hyperlink>
      <w:r w:rsidRPr="00002E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47DCA69F" w14:textId="77777777" w:rsidR="00002EF6" w:rsidRPr="00002EF6" w:rsidRDefault="00002EF6" w:rsidP="00EE4900">
      <w:pPr>
        <w:ind w:left="720" w:hanging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proofErr w:type="spellStart"/>
      <w:r w:rsidRPr="00002E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Iwagami</w:t>
      </w:r>
      <w:proofErr w:type="spellEnd"/>
      <w:r w:rsidRPr="00002E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M., &amp; Shinozaki, T. (2022). Introduction to </w:t>
      </w:r>
      <w:r w:rsidRPr="00002E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matching in case-control and cohort studies. </w:t>
      </w:r>
      <w:r w:rsidRPr="00002EF6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 xml:space="preserve">Annals of </w:t>
      </w:r>
      <w:r w:rsidRPr="00002EF6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Clinical Epidemiology</w:t>
      </w:r>
      <w:r w:rsidRPr="00002E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002EF6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4</w:t>
      </w:r>
      <w:r w:rsidRPr="00002E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(2), 33–40. </w:t>
      </w:r>
      <w:hyperlink r:id="rId7" w:history="1">
        <w:r w:rsidRPr="00002E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https://doi.org/10.37737/ace.22005</w:t>
        </w:r>
      </w:hyperlink>
      <w:r w:rsidRPr="00002E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76F0FD52" w14:textId="77777777" w:rsidR="00002EF6" w:rsidRPr="00002EF6" w:rsidRDefault="00002EF6" w:rsidP="00EE4900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02EF6">
        <w:rPr>
          <w:rFonts w:ascii="Times New Roman" w:hAnsi="Times New Roman" w:cs="Times New Roman"/>
          <w:sz w:val="24"/>
          <w:szCs w:val="24"/>
          <w:shd w:val="clear" w:color="auto" w:fill="FFFFFF"/>
        </w:rPr>
        <w:t>Pottegård</w:t>
      </w:r>
      <w:proofErr w:type="spellEnd"/>
      <w:r w:rsidRPr="00002E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02E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A. (2022). Core concepts in pharmacoepidemiology: Fundamentals of the cohort and case-control study designs. </w:t>
      </w:r>
      <w:r w:rsidRPr="00002EF6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 xml:space="preserve">Pharmacoepidemiology and </w:t>
      </w:r>
      <w:r w:rsidRPr="00002EF6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Drug Safety</w:t>
      </w:r>
      <w:r w:rsidRPr="00002E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002EF6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31</w:t>
      </w:r>
      <w:r w:rsidRPr="00002E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(8), 817–826. </w:t>
      </w:r>
      <w:hyperlink r:id="rId8" w:history="1">
        <w:r w:rsidRPr="00002E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https://doi.org/10.1002/pds.5482</w:t>
        </w:r>
      </w:hyperlink>
      <w:r w:rsidRPr="00002EF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163331A5" w14:textId="77777777" w:rsidR="00002EF6" w:rsidRPr="00002EF6" w:rsidRDefault="00002EF6" w:rsidP="00EE4900">
      <w:pPr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02EF6">
        <w:rPr>
          <w:rFonts w:ascii="Times New Roman" w:hAnsi="Times New Roman" w:cs="Times New Roman"/>
          <w:sz w:val="24"/>
          <w:szCs w:val="24"/>
          <w:shd w:val="clear" w:color="auto" w:fill="FFFFFF"/>
        </w:rPr>
        <w:t>Rezaianzadeh</w:t>
      </w:r>
      <w:proofErr w:type="spellEnd"/>
      <w:r w:rsidRPr="00002E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002EF6">
        <w:rPr>
          <w:rFonts w:ascii="Times New Roman" w:hAnsi="Times New Roman" w:cs="Times New Roman"/>
          <w:sz w:val="24"/>
          <w:szCs w:val="24"/>
          <w:shd w:val="clear" w:color="auto" w:fill="FFFFFF"/>
        </w:rPr>
        <w:t>Ghorbani</w:t>
      </w:r>
      <w:proofErr w:type="spellEnd"/>
      <w:r w:rsidRPr="00002E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002EF6">
        <w:rPr>
          <w:rFonts w:ascii="Times New Roman" w:hAnsi="Times New Roman" w:cs="Times New Roman"/>
          <w:sz w:val="24"/>
          <w:szCs w:val="24"/>
          <w:shd w:val="clear" w:color="auto" w:fill="FFFFFF"/>
        </w:rPr>
        <w:t>Rezaeian</w:t>
      </w:r>
      <w:proofErr w:type="spellEnd"/>
      <w:r w:rsidRPr="00002E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&amp; </w:t>
      </w:r>
      <w:proofErr w:type="spellStart"/>
      <w:r w:rsidRPr="00002EF6">
        <w:rPr>
          <w:rFonts w:ascii="Times New Roman" w:hAnsi="Times New Roman" w:cs="Times New Roman"/>
          <w:sz w:val="24"/>
          <w:szCs w:val="24"/>
          <w:shd w:val="clear" w:color="auto" w:fill="FFFFFF"/>
        </w:rPr>
        <w:t>Kassani</w:t>
      </w:r>
      <w:proofErr w:type="spellEnd"/>
      <w:r w:rsidRPr="00002EF6">
        <w:rPr>
          <w:rFonts w:ascii="Times New Roman" w:hAnsi="Times New Roman" w:cs="Times New Roman"/>
          <w:sz w:val="24"/>
          <w:szCs w:val="24"/>
          <w:shd w:val="clear" w:color="auto" w:fill="FFFFFF"/>
        </w:rPr>
        <w:t>, A. (2018). Red Meat Consumption and Breast Cancer Risk in Premenopausal Women: A Systematic Review and Meta-Analysis (PDF). Middle East Journal of Cancer, 9(1), 5–12</w:t>
      </w:r>
      <w:r w:rsidRPr="00002E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sectPr w:rsidR="00002EF6" w:rsidRPr="00002EF6" w:rsidSect="008C6AA7">
      <w:headerReference w:type="first" r:id="rId9"/>
      <w:type w:val="continuous"/>
      <w:pgSz w:w="12240" w:h="15840" w:orient="landscape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64707" w14:textId="77777777" w:rsidR="001F53C7" w:rsidRDefault="001F53C7" w:rsidP="00002EF6">
      <w:pPr>
        <w:spacing w:line="240" w:lineRule="auto"/>
      </w:pPr>
      <w:r>
        <w:separator/>
      </w:r>
    </w:p>
  </w:endnote>
  <w:endnote w:type="continuationSeparator" w:id="0">
    <w:p w14:paraId="52B99995" w14:textId="77777777" w:rsidR="001F53C7" w:rsidRDefault="001F53C7" w:rsidP="00002E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A704C" w14:textId="77777777" w:rsidR="001F53C7" w:rsidRDefault="001F53C7" w:rsidP="00002EF6">
      <w:pPr>
        <w:spacing w:line="240" w:lineRule="auto"/>
      </w:pPr>
      <w:r>
        <w:separator/>
      </w:r>
    </w:p>
  </w:footnote>
  <w:footnote w:type="continuationSeparator" w:id="0">
    <w:p w14:paraId="5ABBF089" w14:textId="77777777" w:rsidR="001F53C7" w:rsidRDefault="001F53C7" w:rsidP="00002E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2CA7E" w14:textId="22DA813D" w:rsidR="00002EF6" w:rsidRPr="00002EF6" w:rsidRDefault="00002EF6">
    <w:pPr>
      <w:pStyle w:val="Header"/>
      <w:rPr>
        <w:rFonts w:ascii="Times New Roman" w:hAnsi="Times New Roman" w:cs="Times New Roman"/>
        <w:sz w:val="24"/>
        <w:szCs w:val="24"/>
      </w:rPr>
    </w:pPr>
    <w:r w:rsidRPr="00002EF6">
      <w:rPr>
        <w:rFonts w:ascii="Times New Roman" w:hAnsi="Times New Roman" w:cs="Times New Roman"/>
        <w:sz w:val="24"/>
        <w:szCs w:val="24"/>
      </w:rPr>
      <w:tab/>
    </w:r>
    <w:r w:rsidRPr="00002EF6">
      <w:rPr>
        <w:rFonts w:ascii="Times New Roman" w:hAnsi="Times New Roman" w:cs="Times New Roman"/>
        <w:sz w:val="24"/>
        <w:szCs w:val="24"/>
      </w:rPr>
      <w:tab/>
    </w:r>
    <w:r w:rsidRPr="00002EF6">
      <w:rPr>
        <w:rFonts w:ascii="Times New Roman" w:hAnsi="Times New Roman" w:cs="Times New Roman"/>
        <w:sz w:val="24"/>
        <w:szCs w:val="24"/>
      </w:rPr>
      <w:fldChar w:fldCharType="begin"/>
    </w:r>
    <w:r w:rsidRPr="00002EF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02EF6">
      <w:rPr>
        <w:rFonts w:ascii="Times New Roman" w:hAnsi="Times New Roman" w:cs="Times New Roman"/>
        <w:sz w:val="24"/>
        <w:szCs w:val="24"/>
      </w:rPr>
      <w:fldChar w:fldCharType="separate"/>
    </w:r>
    <w:r w:rsidRPr="00002EF6">
      <w:rPr>
        <w:rFonts w:ascii="Times New Roman" w:hAnsi="Times New Roman" w:cs="Times New Roman"/>
        <w:noProof/>
        <w:sz w:val="24"/>
        <w:szCs w:val="24"/>
      </w:rPr>
      <w:t>1</w:t>
    </w:r>
    <w:r w:rsidRPr="00002EF6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B1"/>
    <w:rsid w:val="00000D15"/>
    <w:rsid w:val="00002EF6"/>
    <w:rsid w:val="00100FB1"/>
    <w:rsid w:val="001F53C7"/>
    <w:rsid w:val="00271A3A"/>
    <w:rsid w:val="002B0411"/>
    <w:rsid w:val="002C18AD"/>
    <w:rsid w:val="002F175F"/>
    <w:rsid w:val="00393F31"/>
    <w:rsid w:val="003C1F28"/>
    <w:rsid w:val="00415533"/>
    <w:rsid w:val="00482BD5"/>
    <w:rsid w:val="005B4420"/>
    <w:rsid w:val="00664918"/>
    <w:rsid w:val="006932F6"/>
    <w:rsid w:val="008A4DF1"/>
    <w:rsid w:val="008C6AA7"/>
    <w:rsid w:val="00931576"/>
    <w:rsid w:val="00BB12AB"/>
    <w:rsid w:val="00BF024E"/>
    <w:rsid w:val="00C37EA8"/>
    <w:rsid w:val="00D90E41"/>
    <w:rsid w:val="00DE7B67"/>
    <w:rsid w:val="00DF1CFB"/>
    <w:rsid w:val="00EE4900"/>
    <w:rsid w:val="00F277C7"/>
    <w:rsid w:val="00F34F02"/>
    <w:rsid w:val="00F52DEE"/>
    <w:rsid w:val="00F6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1963B"/>
  <w15:chartTrackingRefBased/>
  <w15:docId w15:val="{31311DBB-29A3-4FBB-B6DA-3D01CA6B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D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D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2E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EF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2E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EF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pds.54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7737/ace.22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4212/cjhp.v67i5.139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2025-01-18T17:27:00Z</dcterms:created>
  <dcterms:modified xsi:type="dcterms:W3CDTF">2025-01-18T21:28:00Z</dcterms:modified>
</cp:coreProperties>
</file>