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8D91" w14:textId="77777777" w:rsidR="003A2C95" w:rsidRPr="00D11AB0" w:rsidRDefault="00E23716" w:rsidP="00D11AB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AB0">
        <w:rPr>
          <w:rFonts w:ascii="Times New Roman" w:hAnsi="Times New Roman" w:cs="Times New Roman"/>
          <w:b/>
          <w:sz w:val="24"/>
          <w:szCs w:val="24"/>
        </w:rPr>
        <w:t>The Advance Practice Nurse as an Entrepreneur or Intrapreneur</w:t>
      </w:r>
    </w:p>
    <w:p w14:paraId="33F7E3FF" w14:textId="77777777" w:rsidR="00555D91" w:rsidRPr="00D11AB0" w:rsidRDefault="00555D91" w:rsidP="00D11A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11AB0">
        <w:rPr>
          <w:rFonts w:ascii="Times New Roman" w:hAnsi="Times New Roman" w:cs="Times New Roman"/>
          <w:sz w:val="24"/>
          <w:szCs w:val="24"/>
        </w:rPr>
        <w:t>Examine how the Project is;</w:t>
      </w:r>
    </w:p>
    <w:p w14:paraId="47F26BE7" w14:textId="77777777" w:rsidR="00000000" w:rsidRDefault="00B75D28" w:rsidP="00D11AB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11AB0">
        <w:rPr>
          <w:rFonts w:ascii="Times New Roman" w:hAnsi="Times New Roman" w:cs="Times New Roman"/>
          <w:sz w:val="24"/>
          <w:szCs w:val="24"/>
        </w:rPr>
        <w:t>Innovative</w:t>
      </w:r>
    </w:p>
    <w:p w14:paraId="3A225496" w14:textId="7FF95D61" w:rsidR="004C7F33" w:rsidRDefault="004C7F33" w:rsidP="00E5280A">
      <w:pPr>
        <w:spacing w:line="480" w:lineRule="auto"/>
        <w:ind w:firstLine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D2AFF">
        <w:rPr>
          <w:rFonts w:ascii="Times New Roman" w:hAnsi="Times New Roman" w:cs="Times New Roman"/>
          <w:sz w:val="24"/>
          <w:szCs w:val="24"/>
        </w:rPr>
        <w:t>proposed project</w:t>
      </w:r>
      <w:r>
        <w:rPr>
          <w:rFonts w:ascii="Times New Roman" w:hAnsi="Times New Roman" w:cs="Times New Roman"/>
          <w:sz w:val="24"/>
          <w:szCs w:val="24"/>
        </w:rPr>
        <w:t xml:space="preserve"> which is the Collaborative Medication Management Program (CMMP)</w:t>
      </w:r>
      <w:r w:rsidR="0039738D">
        <w:rPr>
          <w:rFonts w:ascii="Times New Roman" w:hAnsi="Times New Roman" w:cs="Times New Roman"/>
          <w:sz w:val="24"/>
          <w:szCs w:val="24"/>
        </w:rPr>
        <w:t xml:space="preserve"> is innovative as it introduces an integrated approach towards addressing medication safety in outpatient psychiatric care for patients with substance abuse and mental health disorders.</w:t>
      </w:r>
      <w:r w:rsidR="00E5280A">
        <w:rPr>
          <w:rFonts w:ascii="Times New Roman" w:hAnsi="Times New Roman" w:cs="Times New Roman"/>
          <w:sz w:val="24"/>
          <w:szCs w:val="24"/>
        </w:rPr>
        <w:t xml:space="preserve"> For this reason, the project is innovative as it </w:t>
      </w:r>
      <w:r w:rsidR="008451C6">
        <w:rPr>
          <w:rFonts w:ascii="Times New Roman" w:hAnsi="Times New Roman" w:cs="Times New Roman"/>
          <w:sz w:val="24"/>
          <w:szCs w:val="24"/>
        </w:rPr>
        <w:t>integrates care for both substance u</w:t>
      </w:r>
      <w:r w:rsidR="00350F20">
        <w:rPr>
          <w:rFonts w:ascii="Times New Roman" w:hAnsi="Times New Roman" w:cs="Times New Roman"/>
          <w:sz w:val="24"/>
          <w:szCs w:val="24"/>
        </w:rPr>
        <w:t xml:space="preserve">se and mental health disorders to ensure that the treatment plans </w:t>
      </w:r>
      <w:r w:rsidR="002147A9">
        <w:rPr>
          <w:rFonts w:ascii="Times New Roman" w:hAnsi="Times New Roman" w:cs="Times New Roman"/>
          <w:sz w:val="24"/>
          <w:szCs w:val="24"/>
        </w:rPr>
        <w:t>consider the relationship between p</w:t>
      </w:r>
      <w:r w:rsidR="005A6ABB">
        <w:rPr>
          <w:rFonts w:ascii="Times New Roman" w:hAnsi="Times New Roman" w:cs="Times New Roman"/>
          <w:sz w:val="24"/>
          <w:szCs w:val="24"/>
        </w:rPr>
        <w:t xml:space="preserve">sychical and psychiatric health, including the patient’s emotional and social needs. </w:t>
      </w:r>
      <w:r w:rsidR="00381F2B">
        <w:rPr>
          <w:rFonts w:ascii="Times New Roman" w:hAnsi="Times New Roman" w:cs="Times New Roman"/>
          <w:sz w:val="24"/>
          <w:szCs w:val="24"/>
        </w:rPr>
        <w:t>The project is also innovative as it moves fro</w:t>
      </w:r>
      <w:r w:rsidR="00A71F62">
        <w:rPr>
          <w:rFonts w:ascii="Times New Roman" w:hAnsi="Times New Roman" w:cs="Times New Roman"/>
          <w:sz w:val="24"/>
          <w:szCs w:val="24"/>
        </w:rPr>
        <w:t>m</w:t>
      </w:r>
      <w:r w:rsidR="00381F2B">
        <w:rPr>
          <w:rFonts w:ascii="Times New Roman" w:hAnsi="Times New Roman" w:cs="Times New Roman"/>
          <w:sz w:val="24"/>
          <w:szCs w:val="24"/>
        </w:rPr>
        <w:t xml:space="preserve"> fragmented care towards a patien</w:t>
      </w:r>
      <w:r w:rsidR="009647B5">
        <w:rPr>
          <w:rFonts w:ascii="Times New Roman" w:hAnsi="Times New Roman" w:cs="Times New Roman"/>
          <w:sz w:val="24"/>
          <w:szCs w:val="24"/>
        </w:rPr>
        <w:t>t-centered and unified approach, hence prioritizing the patient’s overall well-being</w:t>
      </w:r>
      <w:r w:rsidR="009408A8">
        <w:rPr>
          <w:rFonts w:ascii="Times New Roman" w:hAnsi="Times New Roman" w:cs="Times New Roman"/>
          <w:sz w:val="24"/>
          <w:szCs w:val="24"/>
        </w:rPr>
        <w:t xml:space="preserve"> (</w:t>
      </w:r>
      <w:r w:rsidR="00ED7FC5" w:rsidRPr="00607C09">
        <w:rPr>
          <w:rFonts w:ascii="Times New Roman" w:hAnsi="Times New Roman" w:cs="Times New Roman"/>
          <w:sz w:val="24"/>
          <w:szCs w:val="24"/>
        </w:rPr>
        <w:t>Chung</w:t>
      </w:r>
      <w:r w:rsidR="00ED7FC5">
        <w:rPr>
          <w:rFonts w:ascii="Times New Roman" w:hAnsi="Times New Roman" w:cs="Times New Roman"/>
          <w:sz w:val="24"/>
          <w:szCs w:val="24"/>
        </w:rPr>
        <w:t xml:space="preserve"> et al., 2020</w:t>
      </w:r>
      <w:r w:rsidR="009408A8">
        <w:rPr>
          <w:rFonts w:ascii="Times New Roman" w:hAnsi="Times New Roman" w:cs="Times New Roman"/>
          <w:sz w:val="24"/>
          <w:szCs w:val="24"/>
        </w:rPr>
        <w:t>)</w:t>
      </w:r>
      <w:r w:rsidR="009647B5">
        <w:rPr>
          <w:rFonts w:ascii="Times New Roman" w:hAnsi="Times New Roman" w:cs="Times New Roman"/>
          <w:sz w:val="24"/>
          <w:szCs w:val="24"/>
        </w:rPr>
        <w:t xml:space="preserve">. </w:t>
      </w:r>
      <w:r w:rsidR="00BF7C56">
        <w:rPr>
          <w:rFonts w:ascii="Times New Roman" w:hAnsi="Times New Roman" w:cs="Times New Roman"/>
          <w:sz w:val="24"/>
          <w:szCs w:val="24"/>
        </w:rPr>
        <w:t xml:space="preserve">Additionally, the </w:t>
      </w:r>
      <w:r w:rsidR="008E4141">
        <w:rPr>
          <w:rFonts w:ascii="Times New Roman" w:hAnsi="Times New Roman" w:cs="Times New Roman"/>
          <w:sz w:val="24"/>
          <w:szCs w:val="24"/>
        </w:rPr>
        <w:t xml:space="preserve">project is innovative since the CMMP </w:t>
      </w:r>
      <w:r w:rsidR="00861862">
        <w:rPr>
          <w:rFonts w:ascii="Times New Roman" w:hAnsi="Times New Roman" w:cs="Times New Roman"/>
          <w:sz w:val="24"/>
          <w:szCs w:val="24"/>
        </w:rPr>
        <w:t xml:space="preserve">creates a collaboration framework </w:t>
      </w:r>
      <w:r w:rsidR="001054DC">
        <w:rPr>
          <w:rFonts w:ascii="Times New Roman" w:hAnsi="Times New Roman" w:cs="Times New Roman"/>
          <w:sz w:val="24"/>
          <w:szCs w:val="24"/>
        </w:rPr>
        <w:t xml:space="preserve">to facilitate shared decision-making. </w:t>
      </w:r>
      <w:r w:rsidR="0038767A">
        <w:rPr>
          <w:rFonts w:ascii="Times New Roman" w:hAnsi="Times New Roman" w:cs="Times New Roman"/>
          <w:sz w:val="24"/>
          <w:szCs w:val="24"/>
        </w:rPr>
        <w:t xml:space="preserve">The project therefore ensures </w:t>
      </w:r>
      <w:r w:rsidR="002B2906">
        <w:rPr>
          <w:rFonts w:ascii="Times New Roman" w:hAnsi="Times New Roman" w:cs="Times New Roman"/>
          <w:sz w:val="24"/>
          <w:szCs w:val="24"/>
        </w:rPr>
        <w:t xml:space="preserve">that all professionals are working together </w:t>
      </w:r>
      <w:r w:rsidR="00DC1BE6">
        <w:rPr>
          <w:rFonts w:ascii="Times New Roman" w:hAnsi="Times New Roman" w:cs="Times New Roman"/>
          <w:sz w:val="24"/>
          <w:szCs w:val="24"/>
        </w:rPr>
        <w:t xml:space="preserve">to provide more effective and safer medication management. </w:t>
      </w:r>
    </w:p>
    <w:p w14:paraId="5213C5E6" w14:textId="51A75DF8" w:rsidR="00467FC7" w:rsidRPr="004C7F33" w:rsidRDefault="007D2AFF" w:rsidP="00E5280A">
      <w:pPr>
        <w:spacing w:line="480" w:lineRule="auto"/>
        <w:ind w:firstLine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CMMP also includes education sessions that use motivational interviewing, visual aids and plain language </w:t>
      </w:r>
      <w:r w:rsidR="00732612">
        <w:rPr>
          <w:rFonts w:ascii="Times New Roman" w:hAnsi="Times New Roman" w:cs="Times New Roman"/>
          <w:sz w:val="24"/>
          <w:szCs w:val="24"/>
        </w:rPr>
        <w:t xml:space="preserve">to improve patient understanding </w:t>
      </w:r>
      <w:r w:rsidR="000F314E">
        <w:rPr>
          <w:rFonts w:ascii="Times New Roman" w:hAnsi="Times New Roman" w:cs="Times New Roman"/>
          <w:sz w:val="24"/>
          <w:szCs w:val="24"/>
        </w:rPr>
        <w:t xml:space="preserve">about their medications towards encouraging adherence. </w:t>
      </w:r>
      <w:r w:rsidR="00470BE1">
        <w:rPr>
          <w:rFonts w:ascii="Times New Roman" w:hAnsi="Times New Roman" w:cs="Times New Roman"/>
          <w:sz w:val="24"/>
          <w:szCs w:val="24"/>
        </w:rPr>
        <w:t xml:space="preserve">Hence, the project is innovative </w:t>
      </w:r>
      <w:r w:rsidR="00AE347B">
        <w:rPr>
          <w:rFonts w:ascii="Times New Roman" w:hAnsi="Times New Roman" w:cs="Times New Roman"/>
          <w:sz w:val="24"/>
          <w:szCs w:val="24"/>
        </w:rPr>
        <w:t xml:space="preserve">because it empowers patients to actively take up the role </w:t>
      </w:r>
      <w:r w:rsidR="00510765">
        <w:rPr>
          <w:rFonts w:ascii="Times New Roman" w:hAnsi="Times New Roman" w:cs="Times New Roman"/>
          <w:sz w:val="24"/>
          <w:szCs w:val="24"/>
        </w:rPr>
        <w:t xml:space="preserve">of participating in their care process </w:t>
      </w:r>
      <w:r w:rsidR="009238E5">
        <w:rPr>
          <w:rFonts w:ascii="Times New Roman" w:hAnsi="Times New Roman" w:cs="Times New Roman"/>
          <w:sz w:val="24"/>
          <w:szCs w:val="24"/>
        </w:rPr>
        <w:t xml:space="preserve">which is crucial for long-term </w:t>
      </w:r>
      <w:r w:rsidR="00D56D9C">
        <w:rPr>
          <w:rFonts w:ascii="Times New Roman" w:hAnsi="Times New Roman" w:cs="Times New Roman"/>
          <w:sz w:val="24"/>
          <w:szCs w:val="24"/>
        </w:rPr>
        <w:t>success particularly in populations experiencing complex needs</w:t>
      </w:r>
      <w:r w:rsidR="00D36278">
        <w:rPr>
          <w:rFonts w:ascii="Times New Roman" w:hAnsi="Times New Roman" w:cs="Times New Roman"/>
          <w:sz w:val="24"/>
          <w:szCs w:val="24"/>
        </w:rPr>
        <w:t xml:space="preserve"> (</w:t>
      </w:r>
      <w:r w:rsidR="004F594A" w:rsidRPr="004C2E7C">
        <w:rPr>
          <w:rFonts w:ascii="Times New Roman" w:hAnsi="Times New Roman" w:cs="Times New Roman"/>
          <w:sz w:val="24"/>
          <w:szCs w:val="24"/>
        </w:rPr>
        <w:t>Pereira</w:t>
      </w:r>
      <w:r w:rsidR="004F594A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D36278">
        <w:rPr>
          <w:rFonts w:ascii="Times New Roman" w:hAnsi="Times New Roman" w:cs="Times New Roman"/>
          <w:sz w:val="24"/>
          <w:szCs w:val="24"/>
        </w:rPr>
        <w:t>)</w:t>
      </w:r>
      <w:r w:rsidR="00D56D9C">
        <w:rPr>
          <w:rFonts w:ascii="Times New Roman" w:hAnsi="Times New Roman" w:cs="Times New Roman"/>
          <w:sz w:val="24"/>
          <w:szCs w:val="24"/>
        </w:rPr>
        <w:t xml:space="preserve">. </w:t>
      </w:r>
      <w:r w:rsidR="0006313A">
        <w:rPr>
          <w:rFonts w:ascii="Times New Roman" w:hAnsi="Times New Roman" w:cs="Times New Roman"/>
          <w:sz w:val="24"/>
          <w:szCs w:val="24"/>
        </w:rPr>
        <w:t xml:space="preserve">On the other </w:t>
      </w:r>
      <w:r w:rsidR="00DD4374">
        <w:rPr>
          <w:rFonts w:ascii="Times New Roman" w:hAnsi="Times New Roman" w:cs="Times New Roman"/>
          <w:sz w:val="24"/>
          <w:szCs w:val="24"/>
        </w:rPr>
        <w:t xml:space="preserve">hand, the project emphasizes preventive practices such as </w:t>
      </w:r>
      <w:r w:rsidR="00877044">
        <w:rPr>
          <w:rFonts w:ascii="Times New Roman" w:hAnsi="Times New Roman" w:cs="Times New Roman"/>
          <w:sz w:val="24"/>
          <w:szCs w:val="24"/>
        </w:rPr>
        <w:t>early identification of risks associated with nonadherence and polypharmacy</w:t>
      </w:r>
      <w:r w:rsidR="00CB2B66">
        <w:rPr>
          <w:rFonts w:ascii="Times New Roman" w:hAnsi="Times New Roman" w:cs="Times New Roman"/>
          <w:sz w:val="24"/>
          <w:szCs w:val="24"/>
        </w:rPr>
        <w:t xml:space="preserve">. </w:t>
      </w:r>
      <w:r w:rsidR="00E44726">
        <w:rPr>
          <w:rFonts w:ascii="Times New Roman" w:hAnsi="Times New Roman" w:cs="Times New Roman"/>
          <w:sz w:val="24"/>
          <w:szCs w:val="24"/>
        </w:rPr>
        <w:t xml:space="preserve">Such an action leads to </w:t>
      </w:r>
      <w:r w:rsidR="00DE2B32">
        <w:rPr>
          <w:rFonts w:ascii="Times New Roman" w:hAnsi="Times New Roman" w:cs="Times New Roman"/>
          <w:sz w:val="24"/>
          <w:szCs w:val="24"/>
        </w:rPr>
        <w:t xml:space="preserve">proactive follow-up by the </w:t>
      </w:r>
      <w:r w:rsidR="00DE2B32">
        <w:rPr>
          <w:rFonts w:ascii="Times New Roman" w:hAnsi="Times New Roman" w:cs="Times New Roman"/>
          <w:sz w:val="24"/>
          <w:szCs w:val="24"/>
        </w:rPr>
        <w:lastRenderedPageBreak/>
        <w:t xml:space="preserve">interprofessional team to reduce emergency visits </w:t>
      </w:r>
      <w:r w:rsidR="00AA1C19">
        <w:rPr>
          <w:rFonts w:ascii="Times New Roman" w:hAnsi="Times New Roman" w:cs="Times New Roman"/>
          <w:sz w:val="24"/>
          <w:szCs w:val="24"/>
        </w:rPr>
        <w:t xml:space="preserve">medication-relate complications and hospitalization rates. </w:t>
      </w:r>
    </w:p>
    <w:p w14:paraId="5B9BE65D" w14:textId="77777777" w:rsidR="00B75D28" w:rsidRDefault="00B75D28" w:rsidP="00D11AB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11AB0">
        <w:rPr>
          <w:rFonts w:ascii="Times New Roman" w:hAnsi="Times New Roman" w:cs="Times New Roman"/>
          <w:sz w:val="24"/>
          <w:szCs w:val="24"/>
        </w:rPr>
        <w:t>Promotes safe, high-quality patient-centered care</w:t>
      </w:r>
    </w:p>
    <w:p w14:paraId="06E16783" w14:textId="79790696" w:rsidR="00045488" w:rsidRPr="00045488" w:rsidRDefault="00C12135" w:rsidP="006A46F4">
      <w:pPr>
        <w:spacing w:line="480" w:lineRule="auto"/>
        <w:ind w:firstLine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Collaborative Medication Management Program (CMMP) is specific to addressing </w:t>
      </w:r>
      <w:r w:rsidR="00FB4491">
        <w:rPr>
          <w:rFonts w:ascii="Times New Roman" w:hAnsi="Times New Roman" w:cs="Times New Roman"/>
          <w:sz w:val="24"/>
          <w:szCs w:val="24"/>
        </w:rPr>
        <w:t xml:space="preserve">identified gas regarding medication safety </w:t>
      </w:r>
      <w:r w:rsidR="00D24459">
        <w:rPr>
          <w:rFonts w:ascii="Times New Roman" w:hAnsi="Times New Roman" w:cs="Times New Roman"/>
          <w:sz w:val="24"/>
          <w:szCs w:val="24"/>
        </w:rPr>
        <w:t xml:space="preserve">to ensure that care is tailored according to individual </w:t>
      </w:r>
      <w:r w:rsidR="007468BC">
        <w:rPr>
          <w:rFonts w:ascii="Times New Roman" w:hAnsi="Times New Roman" w:cs="Times New Roman"/>
          <w:sz w:val="24"/>
          <w:szCs w:val="24"/>
        </w:rPr>
        <w:t>p</w:t>
      </w:r>
      <w:r w:rsidR="00D24459">
        <w:rPr>
          <w:rFonts w:ascii="Times New Roman" w:hAnsi="Times New Roman" w:cs="Times New Roman"/>
          <w:sz w:val="24"/>
          <w:szCs w:val="24"/>
        </w:rPr>
        <w:t xml:space="preserve">atient needs. </w:t>
      </w:r>
      <w:r w:rsidR="007468BC">
        <w:rPr>
          <w:rFonts w:ascii="Times New Roman" w:hAnsi="Times New Roman" w:cs="Times New Roman"/>
          <w:sz w:val="24"/>
          <w:szCs w:val="24"/>
        </w:rPr>
        <w:t xml:space="preserve">This means that the program promotes safety by </w:t>
      </w:r>
      <w:r w:rsidR="00DA0B92">
        <w:rPr>
          <w:rFonts w:ascii="Times New Roman" w:hAnsi="Times New Roman" w:cs="Times New Roman"/>
          <w:sz w:val="24"/>
          <w:szCs w:val="24"/>
        </w:rPr>
        <w:t xml:space="preserve">including routine medication reconciliation during each patient encounter </w:t>
      </w:r>
      <w:r w:rsidR="00636BF7">
        <w:rPr>
          <w:rFonts w:ascii="Times New Roman" w:hAnsi="Times New Roman" w:cs="Times New Roman"/>
          <w:sz w:val="24"/>
          <w:szCs w:val="24"/>
        </w:rPr>
        <w:t xml:space="preserve">to prevent possible errors such as </w:t>
      </w:r>
      <w:r w:rsidR="004B22C8">
        <w:rPr>
          <w:rFonts w:ascii="Times New Roman" w:hAnsi="Times New Roman" w:cs="Times New Roman"/>
          <w:sz w:val="24"/>
          <w:szCs w:val="24"/>
        </w:rPr>
        <w:t xml:space="preserve">harmful drug interactions, </w:t>
      </w:r>
      <w:r w:rsidR="006A46F4">
        <w:rPr>
          <w:rFonts w:ascii="Times New Roman" w:hAnsi="Times New Roman" w:cs="Times New Roman"/>
          <w:sz w:val="24"/>
          <w:szCs w:val="24"/>
        </w:rPr>
        <w:t>omissions</w:t>
      </w:r>
      <w:r w:rsidR="004B22C8">
        <w:rPr>
          <w:rFonts w:ascii="Times New Roman" w:hAnsi="Times New Roman" w:cs="Times New Roman"/>
          <w:sz w:val="24"/>
          <w:szCs w:val="24"/>
        </w:rPr>
        <w:t xml:space="preserve"> and drug duplications</w:t>
      </w:r>
      <w:r w:rsidR="00674B4E">
        <w:rPr>
          <w:rFonts w:ascii="Times New Roman" w:hAnsi="Times New Roman" w:cs="Times New Roman"/>
          <w:sz w:val="24"/>
          <w:szCs w:val="24"/>
        </w:rPr>
        <w:t xml:space="preserve"> (</w:t>
      </w:r>
      <w:r w:rsidR="00CC1533" w:rsidRPr="002569FC">
        <w:rPr>
          <w:rFonts w:ascii="Times New Roman" w:hAnsi="Times New Roman" w:cs="Times New Roman"/>
          <w:sz w:val="24"/>
          <w:szCs w:val="24"/>
        </w:rPr>
        <w:t>White</w:t>
      </w:r>
      <w:r w:rsidR="00CC1533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674B4E">
        <w:rPr>
          <w:rFonts w:ascii="Times New Roman" w:hAnsi="Times New Roman" w:cs="Times New Roman"/>
          <w:sz w:val="24"/>
          <w:szCs w:val="24"/>
        </w:rPr>
        <w:t>)</w:t>
      </w:r>
      <w:r w:rsidR="004B22C8">
        <w:rPr>
          <w:rFonts w:ascii="Times New Roman" w:hAnsi="Times New Roman" w:cs="Times New Roman"/>
          <w:sz w:val="24"/>
          <w:szCs w:val="24"/>
        </w:rPr>
        <w:t xml:space="preserve">. </w:t>
      </w:r>
      <w:r w:rsidR="003D41FA">
        <w:rPr>
          <w:rFonts w:ascii="Times New Roman" w:hAnsi="Times New Roman" w:cs="Times New Roman"/>
          <w:sz w:val="24"/>
          <w:szCs w:val="24"/>
        </w:rPr>
        <w:t xml:space="preserve">Such actions are impactful as they </w:t>
      </w:r>
      <w:r w:rsidR="00233BCE">
        <w:rPr>
          <w:rFonts w:ascii="Times New Roman" w:hAnsi="Times New Roman" w:cs="Times New Roman"/>
          <w:sz w:val="24"/>
          <w:szCs w:val="24"/>
        </w:rPr>
        <w:t xml:space="preserve">reduce the risk of </w:t>
      </w:r>
      <w:r w:rsidR="001409F5">
        <w:rPr>
          <w:rFonts w:ascii="Times New Roman" w:hAnsi="Times New Roman" w:cs="Times New Roman"/>
          <w:sz w:val="24"/>
          <w:szCs w:val="24"/>
        </w:rPr>
        <w:t>adverse drug events among the patient group</w:t>
      </w:r>
      <w:r w:rsidR="00674B4E">
        <w:rPr>
          <w:rFonts w:ascii="Times New Roman" w:hAnsi="Times New Roman" w:cs="Times New Roman"/>
          <w:sz w:val="24"/>
          <w:szCs w:val="24"/>
        </w:rPr>
        <w:t xml:space="preserve"> (</w:t>
      </w:r>
      <w:r w:rsidR="00CC1533" w:rsidRPr="002569FC">
        <w:rPr>
          <w:rFonts w:ascii="Times New Roman" w:hAnsi="Times New Roman" w:cs="Times New Roman"/>
          <w:sz w:val="24"/>
          <w:szCs w:val="24"/>
        </w:rPr>
        <w:t>White</w:t>
      </w:r>
      <w:r w:rsidR="00CC1533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674B4E">
        <w:rPr>
          <w:rFonts w:ascii="Times New Roman" w:hAnsi="Times New Roman" w:cs="Times New Roman"/>
          <w:sz w:val="24"/>
          <w:szCs w:val="24"/>
        </w:rPr>
        <w:t>)</w:t>
      </w:r>
      <w:r w:rsidR="001409F5">
        <w:rPr>
          <w:rFonts w:ascii="Times New Roman" w:hAnsi="Times New Roman" w:cs="Times New Roman"/>
          <w:sz w:val="24"/>
          <w:szCs w:val="24"/>
        </w:rPr>
        <w:t xml:space="preserve">. </w:t>
      </w:r>
      <w:r w:rsidR="009026A1">
        <w:rPr>
          <w:rFonts w:ascii="Times New Roman" w:hAnsi="Times New Roman" w:cs="Times New Roman"/>
          <w:sz w:val="24"/>
          <w:szCs w:val="24"/>
        </w:rPr>
        <w:t xml:space="preserve">The project also promotes high-quality care by </w:t>
      </w:r>
      <w:r w:rsidR="00255C49">
        <w:rPr>
          <w:rFonts w:ascii="Times New Roman" w:hAnsi="Times New Roman" w:cs="Times New Roman"/>
          <w:sz w:val="24"/>
          <w:szCs w:val="24"/>
        </w:rPr>
        <w:t>bringing together healthcare professionals from various di</w:t>
      </w:r>
      <w:r w:rsidR="009C5248">
        <w:rPr>
          <w:rFonts w:ascii="Times New Roman" w:hAnsi="Times New Roman" w:cs="Times New Roman"/>
          <w:sz w:val="24"/>
          <w:szCs w:val="24"/>
        </w:rPr>
        <w:t xml:space="preserve">sciplines such as pharmacists, </w:t>
      </w:r>
      <w:r w:rsidR="00255C49">
        <w:rPr>
          <w:rFonts w:ascii="Times New Roman" w:hAnsi="Times New Roman" w:cs="Times New Roman"/>
          <w:sz w:val="24"/>
          <w:szCs w:val="24"/>
        </w:rPr>
        <w:t xml:space="preserve">social workers, PMHNPs and psychiatrists to implement comprehensive care plans. </w:t>
      </w:r>
      <w:r w:rsidR="009C5248">
        <w:rPr>
          <w:rFonts w:ascii="Times New Roman" w:hAnsi="Times New Roman" w:cs="Times New Roman"/>
          <w:sz w:val="24"/>
          <w:szCs w:val="24"/>
        </w:rPr>
        <w:t xml:space="preserve">This promotes high-quality care </w:t>
      </w:r>
      <w:r w:rsidR="00EC74BF">
        <w:rPr>
          <w:rFonts w:ascii="Times New Roman" w:hAnsi="Times New Roman" w:cs="Times New Roman"/>
          <w:sz w:val="24"/>
          <w:szCs w:val="24"/>
        </w:rPr>
        <w:t xml:space="preserve">by ensuring that all aspects of patients’ health are adequately addressed, leading in effective and coordinated care. </w:t>
      </w:r>
      <w:r w:rsidR="00DA3CC7">
        <w:rPr>
          <w:rFonts w:ascii="Times New Roman" w:hAnsi="Times New Roman" w:cs="Times New Roman"/>
          <w:sz w:val="24"/>
          <w:szCs w:val="24"/>
        </w:rPr>
        <w:t>Care plans are also customized according to patients’ n</w:t>
      </w:r>
      <w:r w:rsidR="009310D4">
        <w:rPr>
          <w:rFonts w:ascii="Times New Roman" w:hAnsi="Times New Roman" w:cs="Times New Roman"/>
          <w:sz w:val="24"/>
          <w:szCs w:val="24"/>
        </w:rPr>
        <w:t>eeds, including socio-cultural considerations to uphold health equity</w:t>
      </w:r>
      <w:r w:rsidR="00674B4E">
        <w:rPr>
          <w:rFonts w:ascii="Times New Roman" w:hAnsi="Times New Roman" w:cs="Times New Roman"/>
          <w:sz w:val="24"/>
          <w:szCs w:val="24"/>
        </w:rPr>
        <w:t xml:space="preserve"> (</w:t>
      </w:r>
      <w:r w:rsidR="007C2B6D" w:rsidRPr="00607C09">
        <w:rPr>
          <w:rFonts w:ascii="Times New Roman" w:hAnsi="Times New Roman" w:cs="Times New Roman"/>
          <w:sz w:val="24"/>
          <w:szCs w:val="24"/>
        </w:rPr>
        <w:t>Chung</w:t>
      </w:r>
      <w:r w:rsidR="007C2B6D">
        <w:rPr>
          <w:rFonts w:ascii="Times New Roman" w:hAnsi="Times New Roman" w:cs="Times New Roman"/>
          <w:sz w:val="24"/>
          <w:szCs w:val="24"/>
        </w:rPr>
        <w:t xml:space="preserve"> et al., 2020</w:t>
      </w:r>
      <w:r w:rsidR="00674B4E">
        <w:rPr>
          <w:rFonts w:ascii="Times New Roman" w:hAnsi="Times New Roman" w:cs="Times New Roman"/>
          <w:sz w:val="24"/>
          <w:szCs w:val="24"/>
        </w:rPr>
        <w:t>)</w:t>
      </w:r>
      <w:r w:rsidR="009310D4">
        <w:rPr>
          <w:rFonts w:ascii="Times New Roman" w:hAnsi="Times New Roman" w:cs="Times New Roman"/>
          <w:sz w:val="24"/>
          <w:szCs w:val="24"/>
        </w:rPr>
        <w:t xml:space="preserve">. </w:t>
      </w:r>
      <w:r w:rsidR="003F0C62">
        <w:rPr>
          <w:rFonts w:ascii="Times New Roman" w:hAnsi="Times New Roman" w:cs="Times New Roman"/>
          <w:sz w:val="24"/>
          <w:szCs w:val="24"/>
        </w:rPr>
        <w:t xml:space="preserve">The impact of the project on patient-centered care therefore focuses on </w:t>
      </w:r>
      <w:r w:rsidR="00505FEE">
        <w:rPr>
          <w:rFonts w:ascii="Times New Roman" w:hAnsi="Times New Roman" w:cs="Times New Roman"/>
          <w:sz w:val="24"/>
          <w:szCs w:val="24"/>
        </w:rPr>
        <w:t xml:space="preserve">improving patient engagement </w:t>
      </w:r>
      <w:r w:rsidR="00293E5D">
        <w:rPr>
          <w:rFonts w:ascii="Times New Roman" w:hAnsi="Times New Roman" w:cs="Times New Roman"/>
          <w:sz w:val="24"/>
          <w:szCs w:val="24"/>
        </w:rPr>
        <w:t xml:space="preserve">by addressing individual preferences and needs. </w:t>
      </w:r>
      <w:r w:rsidR="00B755DD">
        <w:rPr>
          <w:rFonts w:ascii="Times New Roman" w:hAnsi="Times New Roman" w:cs="Times New Roman"/>
          <w:sz w:val="24"/>
          <w:szCs w:val="24"/>
        </w:rPr>
        <w:t xml:space="preserve">Consequently, </w:t>
      </w:r>
      <w:r w:rsidR="003570F9">
        <w:rPr>
          <w:rFonts w:ascii="Times New Roman" w:hAnsi="Times New Roman" w:cs="Times New Roman"/>
          <w:sz w:val="24"/>
          <w:szCs w:val="24"/>
        </w:rPr>
        <w:t xml:space="preserve">the CMMP promotes high-quality, safe and patient-centered care by integrating collaborative teamwork efforts, personalized approaches to care and evidence-based safety measures during the process of care delivery. </w:t>
      </w:r>
    </w:p>
    <w:p w14:paraId="104CCB62" w14:textId="77777777" w:rsidR="00B75D28" w:rsidRDefault="00A71759" w:rsidP="00D11AB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11AB0">
        <w:rPr>
          <w:rFonts w:ascii="Times New Roman" w:hAnsi="Times New Roman" w:cs="Times New Roman"/>
          <w:sz w:val="24"/>
          <w:szCs w:val="24"/>
        </w:rPr>
        <w:t>Entrepreneurial or intrapreneurial</w:t>
      </w:r>
    </w:p>
    <w:p w14:paraId="6D232A51" w14:textId="2AA1D062" w:rsidR="00857420" w:rsidRDefault="004C0104" w:rsidP="00A01BD9">
      <w:pPr>
        <w:spacing w:line="480" w:lineRule="auto"/>
        <w:ind w:firstLine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project can be perceived through the entrepreneurial lens </w:t>
      </w:r>
      <w:r w:rsidR="008F1A96">
        <w:rPr>
          <w:rFonts w:ascii="Times New Roman" w:hAnsi="Times New Roman" w:cs="Times New Roman"/>
          <w:sz w:val="24"/>
          <w:szCs w:val="24"/>
        </w:rPr>
        <w:t xml:space="preserve">depending on its constructs and implementation context. </w:t>
      </w:r>
      <w:r w:rsidR="000E2591">
        <w:rPr>
          <w:rFonts w:ascii="Times New Roman" w:hAnsi="Times New Roman" w:cs="Times New Roman"/>
          <w:sz w:val="24"/>
          <w:szCs w:val="24"/>
        </w:rPr>
        <w:t>One of the reasons why the project is entrepreneurial</w:t>
      </w:r>
      <w:r w:rsidR="00035866">
        <w:rPr>
          <w:rFonts w:ascii="Times New Roman" w:hAnsi="Times New Roman" w:cs="Times New Roman"/>
          <w:sz w:val="24"/>
          <w:szCs w:val="24"/>
        </w:rPr>
        <w:t xml:space="preserve"> is because it </w:t>
      </w:r>
      <w:r w:rsidR="00035866">
        <w:rPr>
          <w:rFonts w:ascii="Times New Roman" w:hAnsi="Times New Roman" w:cs="Times New Roman"/>
          <w:sz w:val="24"/>
          <w:szCs w:val="24"/>
        </w:rPr>
        <w:lastRenderedPageBreak/>
        <w:t xml:space="preserve">presents a solution </w:t>
      </w:r>
      <w:r w:rsidR="00532CF8">
        <w:rPr>
          <w:rFonts w:ascii="Times New Roman" w:hAnsi="Times New Roman" w:cs="Times New Roman"/>
          <w:sz w:val="24"/>
          <w:szCs w:val="24"/>
        </w:rPr>
        <w:t xml:space="preserve">to a recognized problem which is medication </w:t>
      </w:r>
      <w:r w:rsidR="002600C9">
        <w:rPr>
          <w:rFonts w:ascii="Times New Roman" w:hAnsi="Times New Roman" w:cs="Times New Roman"/>
          <w:sz w:val="24"/>
          <w:szCs w:val="24"/>
        </w:rPr>
        <w:t xml:space="preserve">safety. Implementing and designing </w:t>
      </w:r>
      <w:r w:rsidR="00133585">
        <w:rPr>
          <w:rFonts w:ascii="Times New Roman" w:hAnsi="Times New Roman" w:cs="Times New Roman"/>
          <w:sz w:val="24"/>
          <w:szCs w:val="24"/>
        </w:rPr>
        <w:t xml:space="preserve">an approach that combines patient-centered care, advanced technology and interprofessional collaboration </w:t>
      </w:r>
      <w:r w:rsidR="0013511D">
        <w:rPr>
          <w:rFonts w:ascii="Times New Roman" w:hAnsi="Times New Roman" w:cs="Times New Roman"/>
          <w:sz w:val="24"/>
          <w:szCs w:val="24"/>
        </w:rPr>
        <w:t>aligns with entrepreneurial models of problem-solving and innovation</w:t>
      </w:r>
      <w:r w:rsidR="005329E5">
        <w:rPr>
          <w:rFonts w:ascii="Times New Roman" w:hAnsi="Times New Roman" w:cs="Times New Roman"/>
          <w:sz w:val="24"/>
          <w:szCs w:val="24"/>
        </w:rPr>
        <w:t xml:space="preserve"> (</w:t>
      </w:r>
      <w:r w:rsidR="005329E5" w:rsidRPr="00A54D2C">
        <w:rPr>
          <w:rFonts w:ascii="Times New Roman" w:hAnsi="Times New Roman" w:cs="Times New Roman"/>
          <w:sz w:val="24"/>
          <w:szCs w:val="24"/>
        </w:rPr>
        <w:t>Chen</w:t>
      </w:r>
      <w:r w:rsidR="005329E5">
        <w:rPr>
          <w:rFonts w:ascii="Times New Roman" w:hAnsi="Times New Roman" w:cs="Times New Roman"/>
          <w:sz w:val="24"/>
          <w:szCs w:val="24"/>
        </w:rPr>
        <w:t xml:space="preserve"> et al., 2024)</w:t>
      </w:r>
      <w:r w:rsidR="0013511D">
        <w:rPr>
          <w:rFonts w:ascii="Times New Roman" w:hAnsi="Times New Roman" w:cs="Times New Roman"/>
          <w:sz w:val="24"/>
          <w:szCs w:val="24"/>
        </w:rPr>
        <w:t xml:space="preserve">. </w:t>
      </w:r>
      <w:r w:rsidR="001C3C2E">
        <w:rPr>
          <w:rFonts w:ascii="Times New Roman" w:hAnsi="Times New Roman" w:cs="Times New Roman"/>
          <w:sz w:val="24"/>
          <w:szCs w:val="24"/>
        </w:rPr>
        <w:t xml:space="preserve">Further, there is an increasing demand for </w:t>
      </w:r>
      <w:r w:rsidR="00C54849">
        <w:rPr>
          <w:rFonts w:ascii="Times New Roman" w:hAnsi="Times New Roman" w:cs="Times New Roman"/>
          <w:sz w:val="24"/>
          <w:szCs w:val="24"/>
        </w:rPr>
        <w:t xml:space="preserve">innovative solutions to address mental health </w:t>
      </w:r>
      <w:r w:rsidR="00AD4B92">
        <w:rPr>
          <w:rFonts w:ascii="Times New Roman" w:hAnsi="Times New Roman" w:cs="Times New Roman"/>
          <w:sz w:val="24"/>
          <w:szCs w:val="24"/>
        </w:rPr>
        <w:t>especially for high-risk populations with co-</w:t>
      </w:r>
      <w:r w:rsidR="000366CC">
        <w:rPr>
          <w:rFonts w:ascii="Times New Roman" w:hAnsi="Times New Roman" w:cs="Times New Roman"/>
          <w:sz w:val="24"/>
          <w:szCs w:val="24"/>
        </w:rPr>
        <w:t>occurring</w:t>
      </w:r>
      <w:r w:rsidR="00AD4B92">
        <w:rPr>
          <w:rFonts w:ascii="Times New Roman" w:hAnsi="Times New Roman" w:cs="Times New Roman"/>
          <w:sz w:val="24"/>
          <w:szCs w:val="24"/>
        </w:rPr>
        <w:t xml:space="preserve"> disorders. </w:t>
      </w:r>
      <w:r w:rsidR="000366CC">
        <w:rPr>
          <w:rFonts w:ascii="Times New Roman" w:hAnsi="Times New Roman" w:cs="Times New Roman"/>
          <w:sz w:val="24"/>
          <w:szCs w:val="24"/>
        </w:rPr>
        <w:t xml:space="preserve">Therefore, the </w:t>
      </w:r>
      <w:r w:rsidR="00662E5F">
        <w:rPr>
          <w:rFonts w:ascii="Times New Roman" w:hAnsi="Times New Roman" w:cs="Times New Roman"/>
          <w:sz w:val="24"/>
          <w:szCs w:val="24"/>
        </w:rPr>
        <w:t xml:space="preserve">CMMP </w:t>
      </w:r>
      <w:r w:rsidR="00307413">
        <w:rPr>
          <w:rFonts w:ascii="Times New Roman" w:hAnsi="Times New Roman" w:cs="Times New Roman"/>
          <w:sz w:val="24"/>
          <w:szCs w:val="24"/>
        </w:rPr>
        <w:t>capitalizes</w:t>
      </w:r>
      <w:r w:rsidR="00662E5F">
        <w:rPr>
          <w:rFonts w:ascii="Times New Roman" w:hAnsi="Times New Roman" w:cs="Times New Roman"/>
          <w:sz w:val="24"/>
          <w:szCs w:val="24"/>
        </w:rPr>
        <w:t xml:space="preserve"> on such opportunities </w:t>
      </w:r>
      <w:r w:rsidR="00967EC1">
        <w:rPr>
          <w:rFonts w:ascii="Times New Roman" w:hAnsi="Times New Roman" w:cs="Times New Roman"/>
          <w:sz w:val="24"/>
          <w:szCs w:val="24"/>
        </w:rPr>
        <w:t xml:space="preserve">by addressing issues such as medication safety </w:t>
      </w:r>
      <w:r w:rsidR="00D45415">
        <w:rPr>
          <w:rFonts w:ascii="Times New Roman" w:hAnsi="Times New Roman" w:cs="Times New Roman"/>
          <w:sz w:val="24"/>
          <w:szCs w:val="24"/>
        </w:rPr>
        <w:t xml:space="preserve">to reduce costs related to </w:t>
      </w:r>
      <w:r w:rsidR="00FC1767">
        <w:rPr>
          <w:rFonts w:ascii="Times New Roman" w:hAnsi="Times New Roman" w:cs="Times New Roman"/>
          <w:sz w:val="24"/>
          <w:szCs w:val="24"/>
        </w:rPr>
        <w:t>hospital readmissions</w:t>
      </w:r>
      <w:r w:rsidR="00581C8E">
        <w:rPr>
          <w:rFonts w:ascii="Times New Roman" w:hAnsi="Times New Roman" w:cs="Times New Roman"/>
          <w:sz w:val="24"/>
          <w:szCs w:val="24"/>
        </w:rPr>
        <w:t xml:space="preserve"> (</w:t>
      </w:r>
      <w:r w:rsidR="00581C8E" w:rsidRPr="00ED58C4">
        <w:rPr>
          <w:rFonts w:ascii="Times New Roman" w:hAnsi="Times New Roman" w:cs="Times New Roman"/>
          <w:sz w:val="24"/>
          <w:szCs w:val="24"/>
        </w:rPr>
        <w:t>Moecker</w:t>
      </w:r>
      <w:r w:rsidR="00581C8E">
        <w:rPr>
          <w:rFonts w:ascii="Times New Roman" w:hAnsi="Times New Roman" w:cs="Times New Roman"/>
          <w:sz w:val="24"/>
          <w:szCs w:val="24"/>
        </w:rPr>
        <w:t xml:space="preserve"> et al., 2022)</w:t>
      </w:r>
      <w:r w:rsidR="00FC1767">
        <w:rPr>
          <w:rFonts w:ascii="Times New Roman" w:hAnsi="Times New Roman" w:cs="Times New Roman"/>
          <w:sz w:val="24"/>
          <w:szCs w:val="24"/>
        </w:rPr>
        <w:t xml:space="preserve">. </w:t>
      </w:r>
      <w:r w:rsidR="008B1BCF">
        <w:rPr>
          <w:rFonts w:ascii="Times New Roman" w:hAnsi="Times New Roman" w:cs="Times New Roman"/>
          <w:sz w:val="24"/>
          <w:szCs w:val="24"/>
        </w:rPr>
        <w:t xml:space="preserve">Therefore, the project has the potential to </w:t>
      </w:r>
      <w:r w:rsidR="005868EF">
        <w:rPr>
          <w:rFonts w:ascii="Times New Roman" w:hAnsi="Times New Roman" w:cs="Times New Roman"/>
          <w:sz w:val="24"/>
          <w:szCs w:val="24"/>
        </w:rPr>
        <w:t xml:space="preserve">be marketed and scaled to </w:t>
      </w:r>
      <w:r w:rsidR="00105F65">
        <w:rPr>
          <w:rFonts w:ascii="Times New Roman" w:hAnsi="Times New Roman" w:cs="Times New Roman"/>
          <w:sz w:val="24"/>
          <w:szCs w:val="24"/>
        </w:rPr>
        <w:t>outpatient clinics and other healthcare organizations</w:t>
      </w:r>
      <w:r w:rsidR="00A62C87">
        <w:rPr>
          <w:rFonts w:ascii="Times New Roman" w:hAnsi="Times New Roman" w:cs="Times New Roman"/>
          <w:sz w:val="24"/>
          <w:szCs w:val="24"/>
        </w:rPr>
        <w:t xml:space="preserve">, which positions it as a potential business venture. </w:t>
      </w:r>
    </w:p>
    <w:p w14:paraId="503CA5ED" w14:textId="77777777" w:rsidR="00DE704B" w:rsidRDefault="00DE704B" w:rsidP="008B18C1">
      <w:pPr>
        <w:spacing w:line="480" w:lineRule="auto"/>
        <w:ind w:firstLine="4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45C13" w14:textId="77777777" w:rsidR="00DE704B" w:rsidRDefault="00DE704B" w:rsidP="008B18C1">
      <w:pPr>
        <w:spacing w:line="480" w:lineRule="auto"/>
        <w:ind w:firstLine="4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88CD5" w14:textId="77777777" w:rsidR="00DE704B" w:rsidRDefault="00DE704B" w:rsidP="008B18C1">
      <w:pPr>
        <w:spacing w:line="480" w:lineRule="auto"/>
        <w:ind w:firstLine="4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276E5" w14:textId="77777777" w:rsidR="00DE704B" w:rsidRDefault="00DE704B" w:rsidP="008B18C1">
      <w:pPr>
        <w:spacing w:line="480" w:lineRule="auto"/>
        <w:ind w:firstLine="4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05BB9C" w14:textId="77777777" w:rsidR="00DE704B" w:rsidRDefault="00DE704B" w:rsidP="008B18C1">
      <w:pPr>
        <w:spacing w:line="480" w:lineRule="auto"/>
        <w:ind w:firstLine="4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D7EA9" w14:textId="77777777" w:rsidR="00DE704B" w:rsidRDefault="00DE704B" w:rsidP="008B18C1">
      <w:pPr>
        <w:spacing w:line="480" w:lineRule="auto"/>
        <w:ind w:firstLine="4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826B50" w14:textId="77777777" w:rsidR="00DE704B" w:rsidRDefault="00DE704B" w:rsidP="008B18C1">
      <w:pPr>
        <w:spacing w:line="480" w:lineRule="auto"/>
        <w:ind w:firstLine="4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F4AEED" w14:textId="77777777" w:rsidR="00DE704B" w:rsidRDefault="00DE704B" w:rsidP="008B18C1">
      <w:pPr>
        <w:spacing w:line="480" w:lineRule="auto"/>
        <w:ind w:firstLine="4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CA3F62" w14:textId="77777777" w:rsidR="00DE704B" w:rsidRDefault="00DE704B" w:rsidP="008B18C1">
      <w:pPr>
        <w:spacing w:line="480" w:lineRule="auto"/>
        <w:ind w:firstLine="4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106F5" w14:textId="77777777" w:rsidR="00DE704B" w:rsidRDefault="00DE704B" w:rsidP="008B18C1">
      <w:pPr>
        <w:spacing w:line="480" w:lineRule="auto"/>
        <w:ind w:firstLine="4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3535D" w14:textId="68EE416E" w:rsidR="00607C09" w:rsidRPr="008B18C1" w:rsidRDefault="00607C09" w:rsidP="008B18C1">
      <w:pPr>
        <w:spacing w:line="480" w:lineRule="auto"/>
        <w:ind w:firstLine="4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8C1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65046981" w14:textId="77777777" w:rsidR="008B18C1" w:rsidRDefault="00607C09" w:rsidP="00607C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7C09">
        <w:rPr>
          <w:rFonts w:ascii="Times New Roman" w:hAnsi="Times New Roman" w:cs="Times New Roman"/>
          <w:sz w:val="24"/>
          <w:szCs w:val="24"/>
        </w:rPr>
        <w:t xml:space="preserve">Chung, T. H., Hernandez, R. J., </w:t>
      </w:r>
      <w:proofErr w:type="spellStart"/>
      <w:r w:rsidRPr="00607C09">
        <w:rPr>
          <w:rFonts w:ascii="Times New Roman" w:hAnsi="Times New Roman" w:cs="Times New Roman"/>
          <w:sz w:val="24"/>
          <w:szCs w:val="24"/>
        </w:rPr>
        <w:t>Libaud</w:t>
      </w:r>
      <w:proofErr w:type="spellEnd"/>
      <w:r w:rsidRPr="00607C09">
        <w:rPr>
          <w:rFonts w:ascii="Times New Roman" w:hAnsi="Times New Roman" w:cs="Times New Roman"/>
          <w:sz w:val="24"/>
          <w:szCs w:val="24"/>
        </w:rPr>
        <w:t xml:space="preserve">-Moal, A., Nguyen, L. K., Lal, L. S., Swint, J. M., ... &amp; </w:t>
      </w:r>
    </w:p>
    <w:p w14:paraId="5798F3CF" w14:textId="7AB69522" w:rsidR="00607C09" w:rsidRDefault="00607C09" w:rsidP="008B18C1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07C09">
        <w:rPr>
          <w:rFonts w:ascii="Times New Roman" w:hAnsi="Times New Roman" w:cs="Times New Roman"/>
          <w:sz w:val="24"/>
          <w:szCs w:val="24"/>
        </w:rPr>
        <w:t>Le, Y. C. L. (2020). The evaluation of comprehensive medication management for chronic diseases in primary care clinics, a Texas delivery system reform incentive payment program. </w:t>
      </w:r>
      <w:r w:rsidRPr="00607C09">
        <w:rPr>
          <w:rFonts w:ascii="Times New Roman" w:hAnsi="Times New Roman" w:cs="Times New Roman"/>
          <w:i/>
          <w:iCs/>
          <w:sz w:val="24"/>
          <w:szCs w:val="24"/>
        </w:rPr>
        <w:t>BMC health services research</w:t>
      </w:r>
      <w:r w:rsidRPr="00607C09">
        <w:rPr>
          <w:rFonts w:ascii="Times New Roman" w:hAnsi="Times New Roman" w:cs="Times New Roman"/>
          <w:sz w:val="24"/>
          <w:szCs w:val="24"/>
        </w:rPr>
        <w:t>, </w:t>
      </w:r>
      <w:r w:rsidRPr="00607C09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607C09">
        <w:rPr>
          <w:rFonts w:ascii="Times New Roman" w:hAnsi="Times New Roman" w:cs="Times New Roman"/>
          <w:sz w:val="24"/>
          <w:szCs w:val="24"/>
        </w:rPr>
        <w:t>, 1-8.</w:t>
      </w:r>
      <w:r w:rsidR="009770B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8B18C1" w:rsidRPr="0055395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https://doi.org/10.1186/s12913-020-05537-3</w:t>
        </w:r>
      </w:hyperlink>
      <w:r w:rsidR="008B18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8A99BD" w14:textId="77777777" w:rsidR="00FD372D" w:rsidRDefault="00A54D2C" w:rsidP="00A54D2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4D2C">
        <w:rPr>
          <w:rFonts w:ascii="Times New Roman" w:hAnsi="Times New Roman" w:cs="Times New Roman"/>
          <w:sz w:val="24"/>
          <w:szCs w:val="24"/>
        </w:rPr>
        <w:t xml:space="preserve">Chen, K. L., Huang, Y. M., Huang, C. F., Sheng, W. H., Chen, Y. K., Shen, L. J., &amp; Wang, C. C. </w:t>
      </w:r>
    </w:p>
    <w:p w14:paraId="2C685555" w14:textId="083746E2" w:rsidR="00A54D2C" w:rsidRDefault="00A54D2C" w:rsidP="00FD372D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54D2C">
        <w:rPr>
          <w:rFonts w:ascii="Times New Roman" w:hAnsi="Times New Roman" w:cs="Times New Roman"/>
          <w:sz w:val="24"/>
          <w:szCs w:val="24"/>
        </w:rPr>
        <w:t>(2024). Impact of an integrated medication management model on the collaborative working relationship among healthcare professionals in a hospital: an explanatory mixed methods study. </w:t>
      </w:r>
      <w:r w:rsidRPr="00A54D2C">
        <w:rPr>
          <w:rFonts w:ascii="Times New Roman" w:hAnsi="Times New Roman" w:cs="Times New Roman"/>
          <w:i/>
          <w:iCs/>
          <w:sz w:val="24"/>
          <w:szCs w:val="24"/>
        </w:rPr>
        <w:t>Journal of Interprofessional Care</w:t>
      </w:r>
      <w:r w:rsidRPr="00A54D2C">
        <w:rPr>
          <w:rFonts w:ascii="Times New Roman" w:hAnsi="Times New Roman" w:cs="Times New Roman"/>
          <w:sz w:val="24"/>
          <w:szCs w:val="24"/>
        </w:rPr>
        <w:t>, </w:t>
      </w:r>
      <w:r w:rsidRPr="00A54D2C">
        <w:rPr>
          <w:rFonts w:ascii="Times New Roman" w:hAnsi="Times New Roman" w:cs="Times New Roman"/>
          <w:i/>
          <w:iCs/>
          <w:sz w:val="24"/>
          <w:szCs w:val="24"/>
        </w:rPr>
        <w:t>38</w:t>
      </w:r>
      <w:r w:rsidRPr="00A54D2C">
        <w:rPr>
          <w:rFonts w:ascii="Times New Roman" w:hAnsi="Times New Roman" w:cs="Times New Roman"/>
          <w:sz w:val="24"/>
          <w:szCs w:val="24"/>
        </w:rPr>
        <w:t>(2), 220-233.</w:t>
      </w:r>
      <w:r w:rsidR="00D1269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FD372D" w:rsidRPr="00553953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http://dx.doi.org/10.1080/13561820.2023.2263482</w:t>
        </w:r>
      </w:hyperlink>
      <w:r w:rsidR="00FD37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6D5202" w14:textId="77777777" w:rsidR="00C90466" w:rsidRDefault="00ED58C4" w:rsidP="00ED58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D58C4">
        <w:rPr>
          <w:rFonts w:ascii="Times New Roman" w:hAnsi="Times New Roman" w:cs="Times New Roman"/>
          <w:sz w:val="24"/>
          <w:szCs w:val="24"/>
        </w:rPr>
        <w:t xml:space="preserve">Moecker, R., Weissenborn, M., Klingenberg, A., </w:t>
      </w:r>
      <w:proofErr w:type="spellStart"/>
      <w:r w:rsidRPr="00ED58C4">
        <w:rPr>
          <w:rFonts w:ascii="Times New Roman" w:hAnsi="Times New Roman" w:cs="Times New Roman"/>
          <w:sz w:val="24"/>
          <w:szCs w:val="24"/>
        </w:rPr>
        <w:t>Wirbka</w:t>
      </w:r>
      <w:proofErr w:type="spellEnd"/>
      <w:r w:rsidRPr="00ED58C4">
        <w:rPr>
          <w:rFonts w:ascii="Times New Roman" w:hAnsi="Times New Roman" w:cs="Times New Roman"/>
          <w:sz w:val="24"/>
          <w:szCs w:val="24"/>
        </w:rPr>
        <w:t xml:space="preserve">, L., Fuchs, A., Eickhoff, C., ... &amp; </w:t>
      </w:r>
    </w:p>
    <w:p w14:paraId="76FE3AC0" w14:textId="4CF1AAEC" w:rsidR="00ED58C4" w:rsidRDefault="00ED58C4" w:rsidP="00C90466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D58C4">
        <w:rPr>
          <w:rFonts w:ascii="Times New Roman" w:hAnsi="Times New Roman" w:cs="Times New Roman"/>
          <w:sz w:val="24"/>
          <w:szCs w:val="24"/>
        </w:rPr>
        <w:t>Seidling, H. M. (2022). Task sharing in an interprofessional medication management program–a survey of general practitioners and community pharmacists. </w:t>
      </w:r>
      <w:r w:rsidRPr="00ED58C4">
        <w:rPr>
          <w:rFonts w:ascii="Times New Roman" w:hAnsi="Times New Roman" w:cs="Times New Roman"/>
          <w:i/>
          <w:iCs/>
          <w:sz w:val="24"/>
          <w:szCs w:val="24"/>
        </w:rPr>
        <w:t>BMC Health Services Research</w:t>
      </w:r>
      <w:r w:rsidRPr="00ED58C4">
        <w:rPr>
          <w:rFonts w:ascii="Times New Roman" w:hAnsi="Times New Roman" w:cs="Times New Roman"/>
          <w:sz w:val="24"/>
          <w:szCs w:val="24"/>
        </w:rPr>
        <w:t>, </w:t>
      </w:r>
      <w:r w:rsidRPr="00ED58C4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ED58C4">
        <w:rPr>
          <w:rFonts w:ascii="Times New Roman" w:hAnsi="Times New Roman" w:cs="Times New Roman"/>
          <w:sz w:val="24"/>
          <w:szCs w:val="24"/>
        </w:rPr>
        <w:t>(1), 1005.</w:t>
      </w:r>
      <w:r w:rsidR="004A6BC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C90466" w:rsidRPr="0055395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https://doi.org/10.1186/s12913-022-08378-4</w:t>
        </w:r>
      </w:hyperlink>
      <w:r w:rsidR="00C904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1C5086" w14:textId="77777777" w:rsidR="003371B6" w:rsidRDefault="004C2E7C" w:rsidP="004C2E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C2E7C">
        <w:rPr>
          <w:rFonts w:ascii="Times New Roman" w:hAnsi="Times New Roman" w:cs="Times New Roman"/>
          <w:sz w:val="24"/>
          <w:szCs w:val="24"/>
        </w:rPr>
        <w:t xml:space="preserve">Pereira, F., Bieri, M., del Rio Carral, M., Martins, M. M., &amp; </w:t>
      </w:r>
      <w:proofErr w:type="spellStart"/>
      <w:r w:rsidRPr="004C2E7C">
        <w:rPr>
          <w:rFonts w:ascii="Times New Roman" w:hAnsi="Times New Roman" w:cs="Times New Roman"/>
          <w:sz w:val="24"/>
          <w:szCs w:val="24"/>
        </w:rPr>
        <w:t>Verloo</w:t>
      </w:r>
      <w:proofErr w:type="spellEnd"/>
      <w:r w:rsidRPr="004C2E7C">
        <w:rPr>
          <w:rFonts w:ascii="Times New Roman" w:hAnsi="Times New Roman" w:cs="Times New Roman"/>
          <w:sz w:val="24"/>
          <w:szCs w:val="24"/>
        </w:rPr>
        <w:t>, H. (2022). Collaborative</w:t>
      </w:r>
    </w:p>
    <w:p w14:paraId="4908953B" w14:textId="1BBBF0EA" w:rsidR="004C2E7C" w:rsidRDefault="004C2E7C" w:rsidP="003371B6">
      <w:pPr>
        <w:spacing w:line="480" w:lineRule="auto"/>
        <w:ind w:left="720" w:firstLine="60"/>
        <w:rPr>
          <w:rFonts w:ascii="Times New Roman" w:hAnsi="Times New Roman" w:cs="Times New Roman"/>
          <w:sz w:val="24"/>
          <w:szCs w:val="24"/>
        </w:rPr>
      </w:pPr>
      <w:r w:rsidRPr="004C2E7C">
        <w:rPr>
          <w:rFonts w:ascii="Times New Roman" w:hAnsi="Times New Roman" w:cs="Times New Roman"/>
          <w:sz w:val="24"/>
          <w:szCs w:val="24"/>
        </w:rPr>
        <w:t>medication management for older adults after hospital discharge: a qualitative descriptive study. </w:t>
      </w:r>
      <w:r w:rsidRPr="004C2E7C">
        <w:rPr>
          <w:rFonts w:ascii="Times New Roman" w:hAnsi="Times New Roman" w:cs="Times New Roman"/>
          <w:i/>
          <w:iCs/>
          <w:sz w:val="24"/>
          <w:szCs w:val="24"/>
        </w:rPr>
        <w:t>BMC nursing</w:t>
      </w:r>
      <w:r w:rsidRPr="004C2E7C">
        <w:rPr>
          <w:rFonts w:ascii="Times New Roman" w:hAnsi="Times New Roman" w:cs="Times New Roman"/>
          <w:sz w:val="24"/>
          <w:szCs w:val="24"/>
        </w:rPr>
        <w:t>, </w:t>
      </w:r>
      <w:r w:rsidRPr="004C2E7C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4C2E7C">
        <w:rPr>
          <w:rFonts w:ascii="Times New Roman" w:hAnsi="Times New Roman" w:cs="Times New Roman"/>
          <w:sz w:val="24"/>
          <w:szCs w:val="24"/>
        </w:rPr>
        <w:t>(1), 284.</w:t>
      </w:r>
      <w:r w:rsidR="00B705F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33550" w:rsidRPr="0055395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https://doi.org/10.1186/s12912-022-01061-3</w:t>
        </w:r>
      </w:hyperlink>
      <w:r w:rsidR="00E335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63F1FA" w14:textId="77777777" w:rsidR="00D9778A" w:rsidRDefault="002569FC" w:rsidP="002569F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569FC">
        <w:rPr>
          <w:rFonts w:ascii="Times New Roman" w:hAnsi="Times New Roman" w:cs="Times New Roman"/>
          <w:sz w:val="24"/>
          <w:szCs w:val="24"/>
        </w:rPr>
        <w:t xml:space="preserve">White, A., Fulda, K. G., Blythe, R., Chui, M. A., Reeve, E., Young, R., ... &amp; Xiao, Y. (2022). </w:t>
      </w:r>
    </w:p>
    <w:p w14:paraId="29D2E9A1" w14:textId="5228124A" w:rsidR="002569FC" w:rsidRPr="00857420" w:rsidRDefault="002569FC" w:rsidP="00D9778A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569FC">
        <w:rPr>
          <w:rFonts w:ascii="Times New Roman" w:hAnsi="Times New Roman" w:cs="Times New Roman"/>
          <w:sz w:val="24"/>
          <w:szCs w:val="24"/>
        </w:rPr>
        <w:lastRenderedPageBreak/>
        <w:t>Defining and enhancing collaboration between community pharmacists and primary care providers to improve medication safety. </w:t>
      </w:r>
      <w:r w:rsidRPr="002569FC">
        <w:rPr>
          <w:rFonts w:ascii="Times New Roman" w:hAnsi="Times New Roman" w:cs="Times New Roman"/>
          <w:i/>
          <w:iCs/>
          <w:sz w:val="24"/>
          <w:szCs w:val="24"/>
        </w:rPr>
        <w:t>Expert opinion on drug safety</w:t>
      </w:r>
      <w:r w:rsidRPr="002569FC">
        <w:rPr>
          <w:rFonts w:ascii="Times New Roman" w:hAnsi="Times New Roman" w:cs="Times New Roman"/>
          <w:sz w:val="24"/>
          <w:szCs w:val="24"/>
        </w:rPr>
        <w:t>, </w:t>
      </w:r>
      <w:r w:rsidRPr="002569FC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2569FC">
        <w:rPr>
          <w:rFonts w:ascii="Times New Roman" w:hAnsi="Times New Roman" w:cs="Times New Roman"/>
          <w:sz w:val="24"/>
          <w:szCs w:val="24"/>
        </w:rPr>
        <w:t>(11), 1357-1364.</w:t>
      </w:r>
      <w:r w:rsidR="00F30EA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D9778A" w:rsidRPr="0055395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https://doi.org/10.1080/14740338.2022.2147923</w:t>
        </w:r>
      </w:hyperlink>
      <w:r w:rsidR="00D9778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569FC" w:rsidRPr="00857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D2D18"/>
    <w:multiLevelType w:val="hybridMultilevel"/>
    <w:tmpl w:val="6BE6C96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166167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716"/>
    <w:rsid w:val="00035866"/>
    <w:rsid w:val="000366CC"/>
    <w:rsid w:val="00045488"/>
    <w:rsid w:val="0006313A"/>
    <w:rsid w:val="000E2591"/>
    <w:rsid w:val="000F314E"/>
    <w:rsid w:val="001054DC"/>
    <w:rsid w:val="00105F65"/>
    <w:rsid w:val="00133585"/>
    <w:rsid w:val="0013511D"/>
    <w:rsid w:val="001409F5"/>
    <w:rsid w:val="001C3C2E"/>
    <w:rsid w:val="002147A9"/>
    <w:rsid w:val="00233BCE"/>
    <w:rsid w:val="00255C49"/>
    <w:rsid w:val="002569FC"/>
    <w:rsid w:val="002600C9"/>
    <w:rsid w:val="00293E5D"/>
    <w:rsid w:val="002B2906"/>
    <w:rsid w:val="00307413"/>
    <w:rsid w:val="003371B6"/>
    <w:rsid w:val="00350F20"/>
    <w:rsid w:val="003570F9"/>
    <w:rsid w:val="00375DE3"/>
    <w:rsid w:val="00381F2B"/>
    <w:rsid w:val="0038767A"/>
    <w:rsid w:val="0039738D"/>
    <w:rsid w:val="003A2C95"/>
    <w:rsid w:val="003D41FA"/>
    <w:rsid w:val="003F0C62"/>
    <w:rsid w:val="00467FC7"/>
    <w:rsid w:val="00470BE1"/>
    <w:rsid w:val="004A6BCA"/>
    <w:rsid w:val="004B22C8"/>
    <w:rsid w:val="004C0104"/>
    <w:rsid w:val="004C2E7C"/>
    <w:rsid w:val="004C7F33"/>
    <w:rsid w:val="004F594A"/>
    <w:rsid w:val="00505FEE"/>
    <w:rsid w:val="00510765"/>
    <w:rsid w:val="005329E5"/>
    <w:rsid w:val="00532CF8"/>
    <w:rsid w:val="00555D91"/>
    <w:rsid w:val="00581C8E"/>
    <w:rsid w:val="005868EF"/>
    <w:rsid w:val="005A6ABB"/>
    <w:rsid w:val="00607C09"/>
    <w:rsid w:val="00636BF7"/>
    <w:rsid w:val="00662E5F"/>
    <w:rsid w:val="00674B4E"/>
    <w:rsid w:val="006A46F4"/>
    <w:rsid w:val="00732612"/>
    <w:rsid w:val="007468BC"/>
    <w:rsid w:val="007C2B6D"/>
    <w:rsid w:val="007D2AFF"/>
    <w:rsid w:val="008451C6"/>
    <w:rsid w:val="00857420"/>
    <w:rsid w:val="00861862"/>
    <w:rsid w:val="00877044"/>
    <w:rsid w:val="008954DA"/>
    <w:rsid w:val="008B18C1"/>
    <w:rsid w:val="008B1BCF"/>
    <w:rsid w:val="008E4141"/>
    <w:rsid w:val="008F1A96"/>
    <w:rsid w:val="009026A1"/>
    <w:rsid w:val="009238E5"/>
    <w:rsid w:val="009310D4"/>
    <w:rsid w:val="009408A8"/>
    <w:rsid w:val="009647B5"/>
    <w:rsid w:val="00967EC1"/>
    <w:rsid w:val="009770B1"/>
    <w:rsid w:val="009C5248"/>
    <w:rsid w:val="00A01BD9"/>
    <w:rsid w:val="00A54D2C"/>
    <w:rsid w:val="00A62C87"/>
    <w:rsid w:val="00A71759"/>
    <w:rsid w:val="00A71F62"/>
    <w:rsid w:val="00AA1C19"/>
    <w:rsid w:val="00AD4B92"/>
    <w:rsid w:val="00AE347B"/>
    <w:rsid w:val="00B705FD"/>
    <w:rsid w:val="00B72CA6"/>
    <w:rsid w:val="00B755DD"/>
    <w:rsid w:val="00B75D28"/>
    <w:rsid w:val="00BB221A"/>
    <w:rsid w:val="00BF7C56"/>
    <w:rsid w:val="00C12135"/>
    <w:rsid w:val="00C54849"/>
    <w:rsid w:val="00C90466"/>
    <w:rsid w:val="00CB2B66"/>
    <w:rsid w:val="00CC1533"/>
    <w:rsid w:val="00D11AB0"/>
    <w:rsid w:val="00D1269D"/>
    <w:rsid w:val="00D24459"/>
    <w:rsid w:val="00D36278"/>
    <w:rsid w:val="00D45415"/>
    <w:rsid w:val="00D56D9C"/>
    <w:rsid w:val="00D9778A"/>
    <w:rsid w:val="00DA0B92"/>
    <w:rsid w:val="00DA3CC7"/>
    <w:rsid w:val="00DC1BE6"/>
    <w:rsid w:val="00DD4374"/>
    <w:rsid w:val="00DE2B32"/>
    <w:rsid w:val="00DE704B"/>
    <w:rsid w:val="00E23716"/>
    <w:rsid w:val="00E33550"/>
    <w:rsid w:val="00E44726"/>
    <w:rsid w:val="00E5280A"/>
    <w:rsid w:val="00EC74BF"/>
    <w:rsid w:val="00ED2FF5"/>
    <w:rsid w:val="00ED58C4"/>
    <w:rsid w:val="00ED7FC5"/>
    <w:rsid w:val="00F30EA9"/>
    <w:rsid w:val="00FB4491"/>
    <w:rsid w:val="00FC1767"/>
    <w:rsid w:val="00FD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2FC5E"/>
  <w15:docId w15:val="{B8AE47C0-6839-4311-9AC0-890E5CF6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D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18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2912-022-01061-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86/s12913-022-08378-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1080/13561820.2023.226348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186/s12913-020-05537-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14740338.2022.2147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112</cp:revision>
  <dcterms:created xsi:type="dcterms:W3CDTF">2025-01-20T07:57:00Z</dcterms:created>
  <dcterms:modified xsi:type="dcterms:W3CDTF">2025-01-23T10:15:00Z</dcterms:modified>
</cp:coreProperties>
</file>