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ABE61" w14:textId="0FC73E83" w:rsidR="002F175F" w:rsidRPr="000E62F0" w:rsidRDefault="000E62F0">
      <w:pPr>
        <w:rPr>
          <w:rFonts w:ascii="Times New Roman" w:hAnsi="Times New Roman" w:cs="Times New Roman"/>
          <w:b/>
          <w:sz w:val="24"/>
          <w:szCs w:val="24"/>
        </w:rPr>
      </w:pPr>
      <w:r w:rsidRPr="000E62F0">
        <w:rPr>
          <w:rFonts w:ascii="Times New Roman" w:hAnsi="Times New Roman" w:cs="Times New Roman"/>
          <w:b/>
          <w:sz w:val="24"/>
          <w:szCs w:val="24"/>
        </w:rPr>
        <w:t>Hello Stella</w:t>
      </w:r>
    </w:p>
    <w:p w14:paraId="69B5DF7C" w14:textId="4A494222" w:rsidR="000E62F0" w:rsidRDefault="00B24E3C">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Thank you for your insightful contribution to the discussion today. In this study, </w:t>
      </w:r>
      <w:proofErr w:type="spellStart"/>
      <w:r>
        <w:rPr>
          <w:rFonts w:ascii="Times New Roman" w:hAnsi="Times New Roman" w:cs="Times New Roman"/>
          <w:sz w:val="24"/>
          <w:szCs w:val="24"/>
        </w:rPr>
        <w:t>Weigert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Steenergen</w:t>
      </w:r>
      <w:proofErr w:type="spellEnd"/>
      <w:r>
        <w:rPr>
          <w:rFonts w:ascii="Times New Roman" w:hAnsi="Times New Roman" w:cs="Times New Roman"/>
          <w:sz w:val="24"/>
          <w:szCs w:val="24"/>
        </w:rPr>
        <w:t xml:space="preserve"> (2012)</w:t>
      </w:r>
      <w:r>
        <w:rPr>
          <w:rFonts w:ascii="Times New Roman" w:hAnsi="Times New Roman" w:cs="Times New Roman"/>
          <w:sz w:val="24"/>
          <w:szCs w:val="24"/>
        </w:rPr>
        <w:t xml:space="preserve"> provide crucial insights into biostatistics used in epidemiology. As observed by </w:t>
      </w:r>
      <w:proofErr w:type="spellStart"/>
      <w:r>
        <w:rPr>
          <w:rFonts w:ascii="Times New Roman" w:hAnsi="Times New Roman" w:cs="Times New Roman"/>
          <w:sz w:val="24"/>
          <w:szCs w:val="24"/>
        </w:rPr>
        <w:t>Matranga</w:t>
      </w:r>
      <w:proofErr w:type="spellEnd"/>
      <w:r>
        <w:rPr>
          <w:rFonts w:ascii="Times New Roman" w:hAnsi="Times New Roman" w:cs="Times New Roman"/>
          <w:sz w:val="24"/>
          <w:szCs w:val="24"/>
        </w:rPr>
        <w:t xml:space="preserve"> et al. (2021), gaining competence in this area is essential </w:t>
      </w:r>
      <w:r w:rsidR="00E15D2A">
        <w:rPr>
          <w:rFonts w:ascii="Times New Roman" w:hAnsi="Times New Roman" w:cs="Times New Roman"/>
          <w:sz w:val="24"/>
          <w:szCs w:val="24"/>
        </w:rPr>
        <w:t xml:space="preserve">for nurses to understand the spread of disease and approaches to controlling or preventing </w:t>
      </w:r>
      <w:r w:rsidR="001F6B3E">
        <w:rPr>
          <w:rFonts w:ascii="Times New Roman" w:hAnsi="Times New Roman" w:cs="Times New Roman"/>
          <w:sz w:val="24"/>
          <w:szCs w:val="24"/>
        </w:rPr>
        <w:t xml:space="preserve">it. The specificity and sensitivity values provided in the study offer insights into whether the screening tool could identify individuals with breast cancer and discriminate those without. As you have highlighted, the values helped in ruling out or ruling in the possibility of cancer among the participants. </w:t>
      </w:r>
      <w:r w:rsidR="00423A4F">
        <w:rPr>
          <w:rFonts w:ascii="Times New Roman" w:hAnsi="Times New Roman" w:cs="Times New Roman"/>
          <w:sz w:val="24"/>
          <w:szCs w:val="24"/>
        </w:rPr>
        <w:t>While the figures are contrary to convention (Wang et al., 2021), they evoke the need to consider approaches to improving the detection of breast cancer in women whose mammographs are negative</w:t>
      </w:r>
      <w:r w:rsidR="001F6B3E">
        <w:rPr>
          <w:rFonts w:ascii="Times New Roman" w:hAnsi="Times New Roman" w:cs="Times New Roman"/>
          <w:sz w:val="24"/>
          <w:szCs w:val="24"/>
        </w:rPr>
        <w:t xml:space="preserve">. Regardless, these values could support the advocacy and development of policies focused on improving screening in vulnerable populations and educating the population about the high risk of breast cancer in individuals with dense breasts. </w:t>
      </w:r>
    </w:p>
    <w:p w14:paraId="12E9D313" w14:textId="17091025" w:rsidR="001F6B3E" w:rsidRDefault="001F6B3E" w:rsidP="001F6B3E">
      <w:pPr>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527C6BFA" w14:textId="77777777" w:rsidR="001F6B3E" w:rsidRPr="00C34B64" w:rsidRDefault="001F6B3E" w:rsidP="001F6B3E">
      <w:pPr>
        <w:ind w:left="720" w:hanging="720"/>
        <w:rPr>
          <w:rFonts w:ascii="Times New Roman" w:hAnsi="Times New Roman" w:cs="Times New Roman"/>
          <w:color w:val="1B1B1B"/>
          <w:sz w:val="24"/>
          <w:szCs w:val="24"/>
          <w:shd w:val="clear" w:color="auto" w:fill="FFFFFF"/>
        </w:rPr>
      </w:pPr>
      <w:proofErr w:type="spellStart"/>
      <w:r w:rsidRPr="00C34B64">
        <w:rPr>
          <w:rFonts w:ascii="Times New Roman" w:hAnsi="Times New Roman" w:cs="Times New Roman"/>
          <w:color w:val="1B1B1B"/>
          <w:sz w:val="24"/>
          <w:szCs w:val="24"/>
          <w:shd w:val="clear" w:color="auto" w:fill="FFFFFF"/>
        </w:rPr>
        <w:t>Matranga</w:t>
      </w:r>
      <w:proofErr w:type="spellEnd"/>
      <w:r w:rsidRPr="00C34B64">
        <w:rPr>
          <w:rFonts w:ascii="Times New Roman" w:hAnsi="Times New Roman" w:cs="Times New Roman"/>
          <w:color w:val="1B1B1B"/>
          <w:sz w:val="24"/>
          <w:szCs w:val="24"/>
          <w:shd w:val="clear" w:color="auto" w:fill="FFFFFF"/>
        </w:rPr>
        <w:t>, D., Bono, F., &amp; Maniscalco, L. (2021). Statistical advances in epidemiology and public health. </w:t>
      </w:r>
      <w:r w:rsidRPr="00C34B64">
        <w:rPr>
          <w:rFonts w:ascii="Times New Roman" w:hAnsi="Times New Roman" w:cs="Times New Roman"/>
          <w:i/>
          <w:iCs/>
          <w:color w:val="1B1B1B"/>
          <w:sz w:val="24"/>
          <w:szCs w:val="24"/>
          <w:shd w:val="clear" w:color="auto" w:fill="FFFFFF"/>
        </w:rPr>
        <w:t>International Journal of Environmental Research and Public Health</w:t>
      </w:r>
      <w:r w:rsidRPr="00C34B64">
        <w:rPr>
          <w:rFonts w:ascii="Times New Roman" w:hAnsi="Times New Roman" w:cs="Times New Roman"/>
          <w:color w:val="1B1B1B"/>
          <w:sz w:val="24"/>
          <w:szCs w:val="24"/>
          <w:shd w:val="clear" w:color="auto" w:fill="FFFFFF"/>
        </w:rPr>
        <w:t>, </w:t>
      </w:r>
      <w:r w:rsidRPr="00C34B64">
        <w:rPr>
          <w:rFonts w:ascii="Times New Roman" w:hAnsi="Times New Roman" w:cs="Times New Roman"/>
          <w:i/>
          <w:iCs/>
          <w:color w:val="1B1B1B"/>
          <w:sz w:val="24"/>
          <w:szCs w:val="24"/>
          <w:shd w:val="clear" w:color="auto" w:fill="FFFFFF"/>
        </w:rPr>
        <w:t>18</w:t>
      </w:r>
      <w:r w:rsidRPr="00C34B64">
        <w:rPr>
          <w:rFonts w:ascii="Times New Roman" w:hAnsi="Times New Roman" w:cs="Times New Roman"/>
          <w:color w:val="1B1B1B"/>
          <w:sz w:val="24"/>
          <w:szCs w:val="24"/>
          <w:shd w:val="clear" w:color="auto" w:fill="FFFFFF"/>
        </w:rPr>
        <w:t xml:space="preserve">(7), 3549. </w:t>
      </w:r>
      <w:hyperlink r:id="rId4" w:history="1">
        <w:r w:rsidRPr="00C34B64">
          <w:rPr>
            <w:rStyle w:val="Hyperlink"/>
            <w:rFonts w:ascii="Times New Roman" w:hAnsi="Times New Roman" w:cs="Times New Roman"/>
            <w:sz w:val="24"/>
            <w:szCs w:val="24"/>
            <w:shd w:val="clear" w:color="auto" w:fill="FFFFFF"/>
          </w:rPr>
          <w:t>https://doi.org/10.3390/ijerph18073549</w:t>
        </w:r>
      </w:hyperlink>
    </w:p>
    <w:p w14:paraId="790277B2" w14:textId="77777777" w:rsidR="001F6B3E" w:rsidRPr="00C34B64" w:rsidRDefault="001F6B3E" w:rsidP="001F6B3E">
      <w:pPr>
        <w:ind w:left="720" w:hanging="720"/>
        <w:rPr>
          <w:rFonts w:ascii="Times New Roman" w:hAnsi="Times New Roman" w:cs="Times New Roman"/>
          <w:color w:val="1B1B1B"/>
          <w:sz w:val="24"/>
          <w:szCs w:val="24"/>
          <w:shd w:val="clear" w:color="auto" w:fill="FFFFFF"/>
        </w:rPr>
      </w:pPr>
      <w:r w:rsidRPr="00C34B64">
        <w:rPr>
          <w:rFonts w:ascii="Times New Roman" w:hAnsi="Times New Roman" w:cs="Times New Roman"/>
          <w:color w:val="1B1B1B"/>
          <w:sz w:val="24"/>
          <w:szCs w:val="24"/>
          <w:shd w:val="clear" w:color="auto" w:fill="FFFFFF"/>
        </w:rPr>
        <w:t>Wang, H., Wang, B., Zhang, X., &amp; Feng, C. (2021). Relations among sensitivity, specificity and predictive values of medical tests based on biomarkers. </w:t>
      </w:r>
      <w:r w:rsidRPr="00C34B64">
        <w:rPr>
          <w:rFonts w:ascii="Times New Roman" w:hAnsi="Times New Roman" w:cs="Times New Roman"/>
          <w:i/>
          <w:iCs/>
          <w:color w:val="1B1B1B"/>
          <w:sz w:val="24"/>
          <w:szCs w:val="24"/>
          <w:shd w:val="clear" w:color="auto" w:fill="FFFFFF"/>
        </w:rPr>
        <w:t>General Psychiatry</w:t>
      </w:r>
      <w:r w:rsidRPr="00C34B64">
        <w:rPr>
          <w:rFonts w:ascii="Times New Roman" w:hAnsi="Times New Roman" w:cs="Times New Roman"/>
          <w:color w:val="1B1B1B"/>
          <w:sz w:val="24"/>
          <w:szCs w:val="24"/>
          <w:shd w:val="clear" w:color="auto" w:fill="FFFFFF"/>
        </w:rPr>
        <w:t>, </w:t>
      </w:r>
      <w:r w:rsidRPr="00C34B64">
        <w:rPr>
          <w:rFonts w:ascii="Times New Roman" w:hAnsi="Times New Roman" w:cs="Times New Roman"/>
          <w:i/>
          <w:iCs/>
          <w:color w:val="1B1B1B"/>
          <w:sz w:val="24"/>
          <w:szCs w:val="24"/>
          <w:shd w:val="clear" w:color="auto" w:fill="FFFFFF"/>
        </w:rPr>
        <w:t>34</w:t>
      </w:r>
      <w:r w:rsidRPr="00C34B64">
        <w:rPr>
          <w:rFonts w:ascii="Times New Roman" w:hAnsi="Times New Roman" w:cs="Times New Roman"/>
          <w:color w:val="1B1B1B"/>
          <w:sz w:val="24"/>
          <w:szCs w:val="24"/>
          <w:shd w:val="clear" w:color="auto" w:fill="FFFFFF"/>
        </w:rPr>
        <w:t xml:space="preserve">(2), e100453. </w:t>
      </w:r>
      <w:hyperlink r:id="rId5" w:history="1">
        <w:r w:rsidRPr="00C34B64">
          <w:rPr>
            <w:rStyle w:val="Hyperlink"/>
            <w:rFonts w:ascii="Times New Roman" w:hAnsi="Times New Roman" w:cs="Times New Roman"/>
            <w:sz w:val="24"/>
            <w:szCs w:val="24"/>
            <w:shd w:val="clear" w:color="auto" w:fill="FFFFFF"/>
          </w:rPr>
          <w:t>https://doi.org/10.1136/gpsych-2020-100453</w:t>
        </w:r>
      </w:hyperlink>
    </w:p>
    <w:p w14:paraId="1A85FE97" w14:textId="559AAFEC" w:rsidR="001F6B3E" w:rsidRDefault="001F6B3E" w:rsidP="001F6B3E">
      <w:pPr>
        <w:ind w:left="720" w:hanging="720"/>
        <w:rPr>
          <w:rFonts w:ascii="Times New Roman" w:hAnsi="Times New Roman" w:cs="Times New Roman"/>
          <w:sz w:val="24"/>
          <w:szCs w:val="24"/>
          <w:shd w:val="clear" w:color="auto" w:fill="FFFFFF"/>
        </w:rPr>
      </w:pPr>
      <w:proofErr w:type="spellStart"/>
      <w:r w:rsidRPr="00C34B64">
        <w:rPr>
          <w:rFonts w:ascii="Times New Roman" w:hAnsi="Times New Roman" w:cs="Times New Roman"/>
          <w:sz w:val="24"/>
          <w:szCs w:val="24"/>
          <w:shd w:val="clear" w:color="auto" w:fill="FFFFFF"/>
        </w:rPr>
        <w:t>Weigert</w:t>
      </w:r>
      <w:proofErr w:type="spellEnd"/>
      <w:r w:rsidRPr="00C34B64">
        <w:rPr>
          <w:rFonts w:ascii="Times New Roman" w:hAnsi="Times New Roman" w:cs="Times New Roman"/>
          <w:sz w:val="24"/>
          <w:szCs w:val="24"/>
          <w:shd w:val="clear" w:color="auto" w:fill="FFFFFF"/>
        </w:rPr>
        <w:t xml:space="preserve">, J., &amp; </w:t>
      </w:r>
      <w:proofErr w:type="spellStart"/>
      <w:r w:rsidRPr="00C34B64">
        <w:rPr>
          <w:rFonts w:ascii="Times New Roman" w:hAnsi="Times New Roman" w:cs="Times New Roman"/>
          <w:sz w:val="24"/>
          <w:szCs w:val="24"/>
          <w:shd w:val="clear" w:color="auto" w:fill="FFFFFF"/>
        </w:rPr>
        <w:t>Steenergen</w:t>
      </w:r>
      <w:proofErr w:type="spellEnd"/>
      <w:r w:rsidRPr="00C34B64">
        <w:rPr>
          <w:rFonts w:ascii="Times New Roman" w:hAnsi="Times New Roman" w:cs="Times New Roman"/>
          <w:sz w:val="24"/>
          <w:szCs w:val="24"/>
          <w:shd w:val="clear" w:color="auto" w:fill="FFFFFF"/>
        </w:rPr>
        <w:t xml:space="preserve">, S. (2012). The Connecticut experiment: The role of ultrasound in the screening of women with dense breasts. </w:t>
      </w:r>
      <w:r w:rsidRPr="00C34B64">
        <w:rPr>
          <w:rFonts w:ascii="Times New Roman" w:hAnsi="Times New Roman" w:cs="Times New Roman"/>
          <w:i/>
          <w:sz w:val="24"/>
          <w:szCs w:val="24"/>
          <w:shd w:val="clear" w:color="auto" w:fill="FFFFFF"/>
        </w:rPr>
        <w:t>Breast Journal,</w:t>
      </w:r>
      <w:r w:rsidRPr="00C34B64">
        <w:rPr>
          <w:rFonts w:ascii="Times New Roman" w:hAnsi="Times New Roman" w:cs="Times New Roman"/>
          <w:sz w:val="24"/>
          <w:szCs w:val="24"/>
          <w:shd w:val="clear" w:color="auto" w:fill="FFFFFF"/>
        </w:rPr>
        <w:t xml:space="preserve"> 18(6), 517–522. </w:t>
      </w:r>
      <w:hyperlink r:id="rId6" w:history="1">
        <w:r w:rsidRPr="00C34B64">
          <w:rPr>
            <w:rStyle w:val="Hyperlink"/>
            <w:rFonts w:ascii="Times New Roman" w:hAnsi="Times New Roman" w:cs="Times New Roman"/>
            <w:sz w:val="24"/>
            <w:szCs w:val="24"/>
            <w:shd w:val="clear" w:color="auto" w:fill="FFFFFF"/>
          </w:rPr>
          <w:t>https://doi.org/10/1111/tbj.12003</w:t>
        </w:r>
      </w:hyperlink>
      <w:r w:rsidRPr="00C34B64">
        <w:rPr>
          <w:rFonts w:ascii="Times New Roman" w:hAnsi="Times New Roman" w:cs="Times New Roman"/>
          <w:sz w:val="24"/>
          <w:szCs w:val="24"/>
          <w:shd w:val="clear" w:color="auto" w:fill="FFFFFF"/>
        </w:rPr>
        <w:t xml:space="preserve"> </w:t>
      </w:r>
    </w:p>
    <w:p w14:paraId="2A5BDF68" w14:textId="01501227" w:rsidR="001F6B3E" w:rsidRDefault="00423A4F" w:rsidP="00423A4F">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Hello Anna</w:t>
      </w:r>
    </w:p>
    <w:p w14:paraId="098473E6" w14:textId="5C94E3CA" w:rsidR="00423A4F" w:rsidRDefault="00423A4F" w:rsidP="00423A4F">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I enjoyed your post in which you highlighted the crucial biostatics essential to epidemiology. Understanding these biostatistics is </w:t>
      </w:r>
      <w:bookmarkStart w:id="0" w:name="_GoBack"/>
      <w:bookmarkEnd w:id="0"/>
      <w:r>
        <w:rPr>
          <w:rFonts w:ascii="Times New Roman" w:hAnsi="Times New Roman" w:cs="Times New Roman"/>
          <w:sz w:val="24"/>
          <w:szCs w:val="24"/>
          <w:shd w:val="clear" w:color="auto" w:fill="FFFFFF"/>
        </w:rPr>
        <w:t xml:space="preserve">part of the DNP essentials because it contributes to understanding trends in disease progression and ensure implementation of optimal </w:t>
      </w:r>
      <w:r w:rsidR="00584F8D">
        <w:rPr>
          <w:rFonts w:ascii="Times New Roman" w:hAnsi="Times New Roman" w:cs="Times New Roman"/>
          <w:sz w:val="24"/>
          <w:szCs w:val="24"/>
          <w:shd w:val="clear" w:color="auto" w:fill="FFFFFF"/>
        </w:rPr>
        <w:t>interventions to address its spread or prevalence (</w:t>
      </w:r>
      <w:proofErr w:type="spellStart"/>
      <w:r w:rsidR="00584F8D">
        <w:rPr>
          <w:rFonts w:ascii="Times New Roman" w:hAnsi="Times New Roman" w:cs="Times New Roman"/>
          <w:sz w:val="24"/>
          <w:szCs w:val="24"/>
          <w:shd w:val="clear" w:color="auto" w:fill="FFFFFF"/>
        </w:rPr>
        <w:t>Matran</w:t>
      </w:r>
      <w:r w:rsidR="008C7956">
        <w:rPr>
          <w:rFonts w:ascii="Times New Roman" w:hAnsi="Times New Roman" w:cs="Times New Roman"/>
          <w:sz w:val="24"/>
          <w:szCs w:val="24"/>
          <w:shd w:val="clear" w:color="auto" w:fill="FFFFFF"/>
        </w:rPr>
        <w:t>g</w:t>
      </w:r>
      <w:r w:rsidR="00584F8D">
        <w:rPr>
          <w:rFonts w:ascii="Times New Roman" w:hAnsi="Times New Roman" w:cs="Times New Roman"/>
          <w:sz w:val="24"/>
          <w:szCs w:val="24"/>
          <w:shd w:val="clear" w:color="auto" w:fill="FFFFFF"/>
        </w:rPr>
        <w:t>a</w:t>
      </w:r>
      <w:proofErr w:type="spellEnd"/>
      <w:r w:rsidR="00584F8D">
        <w:rPr>
          <w:rFonts w:ascii="Times New Roman" w:hAnsi="Times New Roman" w:cs="Times New Roman"/>
          <w:sz w:val="24"/>
          <w:szCs w:val="24"/>
          <w:shd w:val="clear" w:color="auto" w:fill="FFFFFF"/>
        </w:rPr>
        <w:t xml:space="preserve"> et al., 2021). Expressed as percentages, </w:t>
      </w:r>
      <w:r w:rsidR="00584F8D">
        <w:rPr>
          <w:rFonts w:ascii="Times New Roman" w:hAnsi="Times New Roman" w:cs="Times New Roman"/>
          <w:sz w:val="24"/>
          <w:szCs w:val="24"/>
        </w:rPr>
        <w:t>the values for sensitivity, specificity, PPV, and NPV are 96.6%, 94.9%, 6.7%, and 99.9%</w:t>
      </w:r>
      <w:r w:rsidR="008C7956">
        <w:rPr>
          <w:rFonts w:ascii="Times New Roman" w:hAnsi="Times New Roman" w:cs="Times New Roman"/>
          <w:sz w:val="24"/>
          <w:szCs w:val="24"/>
        </w:rPr>
        <w:t xml:space="preserve"> (</w:t>
      </w:r>
      <w:proofErr w:type="spellStart"/>
      <w:r w:rsidR="008C7956" w:rsidRPr="00C34B64">
        <w:rPr>
          <w:rFonts w:ascii="Times New Roman" w:hAnsi="Times New Roman" w:cs="Times New Roman"/>
          <w:sz w:val="24"/>
          <w:szCs w:val="24"/>
          <w:shd w:val="clear" w:color="auto" w:fill="FFFFFF"/>
        </w:rPr>
        <w:t>Weigert</w:t>
      </w:r>
      <w:proofErr w:type="spellEnd"/>
      <w:r w:rsidR="008C7956">
        <w:rPr>
          <w:rFonts w:ascii="Times New Roman" w:hAnsi="Times New Roman" w:cs="Times New Roman"/>
          <w:sz w:val="24"/>
          <w:szCs w:val="24"/>
          <w:shd w:val="clear" w:color="auto" w:fill="FFFFFF"/>
        </w:rPr>
        <w:t xml:space="preserve"> &amp;</w:t>
      </w:r>
      <w:r w:rsidR="008C7956" w:rsidRPr="00C34B64">
        <w:rPr>
          <w:rFonts w:ascii="Times New Roman" w:hAnsi="Times New Roman" w:cs="Times New Roman"/>
          <w:sz w:val="24"/>
          <w:szCs w:val="24"/>
          <w:shd w:val="clear" w:color="auto" w:fill="FFFFFF"/>
        </w:rPr>
        <w:t xml:space="preserve"> </w:t>
      </w:r>
      <w:proofErr w:type="spellStart"/>
      <w:r w:rsidR="008C7956" w:rsidRPr="00C34B64">
        <w:rPr>
          <w:rFonts w:ascii="Times New Roman" w:hAnsi="Times New Roman" w:cs="Times New Roman"/>
          <w:sz w:val="24"/>
          <w:szCs w:val="24"/>
          <w:shd w:val="clear" w:color="auto" w:fill="FFFFFF"/>
        </w:rPr>
        <w:t>Steenergen</w:t>
      </w:r>
      <w:proofErr w:type="spellEnd"/>
      <w:r w:rsidR="008C7956" w:rsidRPr="00C34B64">
        <w:rPr>
          <w:rFonts w:ascii="Times New Roman" w:hAnsi="Times New Roman" w:cs="Times New Roman"/>
          <w:sz w:val="24"/>
          <w:szCs w:val="24"/>
          <w:shd w:val="clear" w:color="auto" w:fill="FFFFFF"/>
        </w:rPr>
        <w:t>, 2012)</w:t>
      </w:r>
      <w:r w:rsidR="00584F8D">
        <w:rPr>
          <w:rFonts w:ascii="Times New Roman" w:hAnsi="Times New Roman" w:cs="Times New Roman"/>
          <w:sz w:val="24"/>
          <w:szCs w:val="24"/>
        </w:rPr>
        <w:t>. Notably, the relatively high NPV of 99.9% implies that ultrasound has a high ability of detecting non-cancer cases (Williams et al., 2023). Based on this information, healthcare professionals can advocate for the incorporation of ultrasound as an essential screening tool for additional diagnostic testing for individuals with or without breast cancer. Gaining these insights could be critical to implementing appropriate preventive strategies for people with dense breasts to determine whether they are predisposed to breast cancer. In addition, the information can be critical to campaigns aimed at creating awareness about vulnerability to breast cancer.</w:t>
      </w:r>
    </w:p>
    <w:p w14:paraId="554046BD" w14:textId="21AFB296" w:rsidR="00584F8D" w:rsidRDefault="00584F8D" w:rsidP="00584F8D">
      <w:pPr>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46B0C9AD" w14:textId="77777777" w:rsidR="00584F8D" w:rsidRPr="00C34B64" w:rsidRDefault="00584F8D" w:rsidP="00584F8D">
      <w:pPr>
        <w:ind w:left="720" w:hanging="720"/>
        <w:rPr>
          <w:rFonts w:ascii="Times New Roman" w:hAnsi="Times New Roman" w:cs="Times New Roman"/>
          <w:color w:val="1B1B1B"/>
          <w:sz w:val="24"/>
          <w:szCs w:val="24"/>
          <w:shd w:val="clear" w:color="auto" w:fill="FFFFFF"/>
        </w:rPr>
      </w:pPr>
      <w:proofErr w:type="spellStart"/>
      <w:r w:rsidRPr="00C34B64">
        <w:rPr>
          <w:rFonts w:ascii="Times New Roman" w:hAnsi="Times New Roman" w:cs="Times New Roman"/>
          <w:color w:val="1B1B1B"/>
          <w:sz w:val="24"/>
          <w:szCs w:val="24"/>
          <w:shd w:val="clear" w:color="auto" w:fill="FFFFFF"/>
        </w:rPr>
        <w:t>Matranga</w:t>
      </w:r>
      <w:proofErr w:type="spellEnd"/>
      <w:r w:rsidRPr="00C34B64">
        <w:rPr>
          <w:rFonts w:ascii="Times New Roman" w:hAnsi="Times New Roman" w:cs="Times New Roman"/>
          <w:color w:val="1B1B1B"/>
          <w:sz w:val="24"/>
          <w:szCs w:val="24"/>
          <w:shd w:val="clear" w:color="auto" w:fill="FFFFFF"/>
        </w:rPr>
        <w:t>, D., Bono, F., &amp; Maniscalco, L. (2021). Statistical advances in epidemiology and public health. </w:t>
      </w:r>
      <w:r w:rsidRPr="00C34B64">
        <w:rPr>
          <w:rFonts w:ascii="Times New Roman" w:hAnsi="Times New Roman" w:cs="Times New Roman"/>
          <w:i/>
          <w:iCs/>
          <w:color w:val="1B1B1B"/>
          <w:sz w:val="24"/>
          <w:szCs w:val="24"/>
          <w:shd w:val="clear" w:color="auto" w:fill="FFFFFF"/>
        </w:rPr>
        <w:t>International Journal of Environmental Research and Public Health</w:t>
      </w:r>
      <w:r w:rsidRPr="00C34B64">
        <w:rPr>
          <w:rFonts w:ascii="Times New Roman" w:hAnsi="Times New Roman" w:cs="Times New Roman"/>
          <w:color w:val="1B1B1B"/>
          <w:sz w:val="24"/>
          <w:szCs w:val="24"/>
          <w:shd w:val="clear" w:color="auto" w:fill="FFFFFF"/>
        </w:rPr>
        <w:t>, </w:t>
      </w:r>
      <w:r w:rsidRPr="00C34B64">
        <w:rPr>
          <w:rFonts w:ascii="Times New Roman" w:hAnsi="Times New Roman" w:cs="Times New Roman"/>
          <w:i/>
          <w:iCs/>
          <w:color w:val="1B1B1B"/>
          <w:sz w:val="24"/>
          <w:szCs w:val="24"/>
          <w:shd w:val="clear" w:color="auto" w:fill="FFFFFF"/>
        </w:rPr>
        <w:t>18</w:t>
      </w:r>
      <w:r w:rsidRPr="00C34B64">
        <w:rPr>
          <w:rFonts w:ascii="Times New Roman" w:hAnsi="Times New Roman" w:cs="Times New Roman"/>
          <w:color w:val="1B1B1B"/>
          <w:sz w:val="24"/>
          <w:szCs w:val="24"/>
          <w:shd w:val="clear" w:color="auto" w:fill="FFFFFF"/>
        </w:rPr>
        <w:t xml:space="preserve">(7), 3549. </w:t>
      </w:r>
      <w:hyperlink r:id="rId7" w:history="1">
        <w:r w:rsidRPr="00C34B64">
          <w:rPr>
            <w:rStyle w:val="Hyperlink"/>
            <w:rFonts w:ascii="Times New Roman" w:hAnsi="Times New Roman" w:cs="Times New Roman"/>
            <w:sz w:val="24"/>
            <w:szCs w:val="24"/>
            <w:shd w:val="clear" w:color="auto" w:fill="FFFFFF"/>
          </w:rPr>
          <w:t>https://doi.org/10.3390/ijerph18073549</w:t>
        </w:r>
      </w:hyperlink>
    </w:p>
    <w:p w14:paraId="32C08FEE" w14:textId="77777777" w:rsidR="008C7956" w:rsidRPr="00C34B64" w:rsidRDefault="008C7956" w:rsidP="008C7956">
      <w:pPr>
        <w:ind w:left="720" w:hanging="720"/>
        <w:rPr>
          <w:rFonts w:ascii="Times New Roman" w:hAnsi="Times New Roman" w:cs="Times New Roman"/>
          <w:sz w:val="24"/>
          <w:szCs w:val="24"/>
          <w:shd w:val="clear" w:color="auto" w:fill="FFFFFF"/>
        </w:rPr>
      </w:pPr>
      <w:proofErr w:type="spellStart"/>
      <w:r w:rsidRPr="00C34B64">
        <w:rPr>
          <w:rFonts w:ascii="Times New Roman" w:hAnsi="Times New Roman" w:cs="Times New Roman"/>
          <w:sz w:val="24"/>
          <w:szCs w:val="24"/>
          <w:shd w:val="clear" w:color="auto" w:fill="FFFFFF"/>
        </w:rPr>
        <w:t>Weigert</w:t>
      </w:r>
      <w:proofErr w:type="spellEnd"/>
      <w:r w:rsidRPr="00C34B64">
        <w:rPr>
          <w:rFonts w:ascii="Times New Roman" w:hAnsi="Times New Roman" w:cs="Times New Roman"/>
          <w:sz w:val="24"/>
          <w:szCs w:val="24"/>
          <w:shd w:val="clear" w:color="auto" w:fill="FFFFFF"/>
        </w:rPr>
        <w:t xml:space="preserve">, J., &amp; </w:t>
      </w:r>
      <w:proofErr w:type="spellStart"/>
      <w:r w:rsidRPr="00C34B64">
        <w:rPr>
          <w:rFonts w:ascii="Times New Roman" w:hAnsi="Times New Roman" w:cs="Times New Roman"/>
          <w:sz w:val="24"/>
          <w:szCs w:val="24"/>
          <w:shd w:val="clear" w:color="auto" w:fill="FFFFFF"/>
        </w:rPr>
        <w:t>Steenergen</w:t>
      </w:r>
      <w:proofErr w:type="spellEnd"/>
      <w:r w:rsidRPr="00C34B64">
        <w:rPr>
          <w:rFonts w:ascii="Times New Roman" w:hAnsi="Times New Roman" w:cs="Times New Roman"/>
          <w:sz w:val="24"/>
          <w:szCs w:val="24"/>
          <w:shd w:val="clear" w:color="auto" w:fill="FFFFFF"/>
        </w:rPr>
        <w:t xml:space="preserve">, S. (2012). The Connecticut experiment: The role of ultrasound in the screening of women with dense breasts. </w:t>
      </w:r>
      <w:r w:rsidRPr="00C34B64">
        <w:rPr>
          <w:rFonts w:ascii="Times New Roman" w:hAnsi="Times New Roman" w:cs="Times New Roman"/>
          <w:i/>
          <w:sz w:val="24"/>
          <w:szCs w:val="24"/>
          <w:shd w:val="clear" w:color="auto" w:fill="FFFFFF"/>
        </w:rPr>
        <w:t>Breast Journal,</w:t>
      </w:r>
      <w:r w:rsidRPr="00C34B64">
        <w:rPr>
          <w:rFonts w:ascii="Times New Roman" w:hAnsi="Times New Roman" w:cs="Times New Roman"/>
          <w:sz w:val="24"/>
          <w:szCs w:val="24"/>
          <w:shd w:val="clear" w:color="auto" w:fill="FFFFFF"/>
        </w:rPr>
        <w:t xml:space="preserve"> 18(6), 517–522. </w:t>
      </w:r>
      <w:hyperlink r:id="rId8" w:history="1">
        <w:r w:rsidRPr="00C34B64">
          <w:rPr>
            <w:rStyle w:val="Hyperlink"/>
            <w:rFonts w:ascii="Times New Roman" w:hAnsi="Times New Roman" w:cs="Times New Roman"/>
            <w:sz w:val="24"/>
            <w:szCs w:val="24"/>
            <w:shd w:val="clear" w:color="auto" w:fill="FFFFFF"/>
          </w:rPr>
          <w:t>https://doi.org/10/1111/tbj.12003</w:t>
        </w:r>
      </w:hyperlink>
      <w:r w:rsidRPr="00C34B64">
        <w:rPr>
          <w:rFonts w:ascii="Times New Roman" w:hAnsi="Times New Roman" w:cs="Times New Roman"/>
          <w:sz w:val="24"/>
          <w:szCs w:val="24"/>
          <w:shd w:val="clear" w:color="auto" w:fill="FFFFFF"/>
        </w:rPr>
        <w:t xml:space="preserve"> </w:t>
      </w:r>
    </w:p>
    <w:p w14:paraId="6C62F1F7" w14:textId="64022BE9" w:rsidR="00584F8D" w:rsidRPr="008C7956" w:rsidRDefault="008C7956" w:rsidP="008C7956">
      <w:pPr>
        <w:ind w:left="720" w:hanging="720"/>
        <w:rPr>
          <w:rFonts w:ascii="Times New Roman" w:hAnsi="Times New Roman" w:cs="Times New Roman"/>
          <w:color w:val="1B1B1B"/>
          <w:sz w:val="24"/>
          <w:szCs w:val="24"/>
          <w:shd w:val="clear" w:color="auto" w:fill="FFFFFF"/>
        </w:rPr>
      </w:pPr>
      <w:r w:rsidRPr="00C34B64">
        <w:rPr>
          <w:rFonts w:ascii="Times New Roman" w:hAnsi="Times New Roman" w:cs="Times New Roman"/>
          <w:color w:val="1B1B1B"/>
          <w:sz w:val="24"/>
          <w:szCs w:val="24"/>
          <w:shd w:val="clear" w:color="auto" w:fill="FFFFFF"/>
        </w:rPr>
        <w:t xml:space="preserve">Williams, C., </w:t>
      </w:r>
      <w:proofErr w:type="spellStart"/>
      <w:r w:rsidRPr="00C34B64">
        <w:rPr>
          <w:rFonts w:ascii="Times New Roman" w:hAnsi="Times New Roman" w:cs="Times New Roman"/>
          <w:color w:val="1B1B1B"/>
          <w:sz w:val="24"/>
          <w:szCs w:val="24"/>
          <w:shd w:val="clear" w:color="auto" w:fill="FFFFFF"/>
        </w:rPr>
        <w:t>Sahagún</w:t>
      </w:r>
      <w:proofErr w:type="spellEnd"/>
      <w:r w:rsidRPr="00C34B64">
        <w:rPr>
          <w:rFonts w:ascii="Times New Roman" w:hAnsi="Times New Roman" w:cs="Times New Roman"/>
          <w:color w:val="1B1B1B"/>
          <w:sz w:val="24"/>
          <w:szCs w:val="24"/>
          <w:shd w:val="clear" w:color="auto" w:fill="FFFFFF"/>
        </w:rPr>
        <w:t xml:space="preserve">, B. E., &amp; </w:t>
      </w:r>
      <w:proofErr w:type="spellStart"/>
      <w:r w:rsidRPr="00C34B64">
        <w:rPr>
          <w:rFonts w:ascii="Times New Roman" w:hAnsi="Times New Roman" w:cs="Times New Roman"/>
          <w:color w:val="1B1B1B"/>
          <w:sz w:val="24"/>
          <w:szCs w:val="24"/>
          <w:shd w:val="clear" w:color="auto" w:fill="FFFFFF"/>
        </w:rPr>
        <w:t>Su</w:t>
      </w:r>
      <w:proofErr w:type="spellEnd"/>
      <w:r w:rsidRPr="00C34B64">
        <w:rPr>
          <w:rFonts w:ascii="Times New Roman" w:hAnsi="Times New Roman" w:cs="Times New Roman"/>
          <w:color w:val="1B1B1B"/>
          <w:sz w:val="24"/>
          <w:szCs w:val="24"/>
          <w:shd w:val="clear" w:color="auto" w:fill="FFFFFF"/>
        </w:rPr>
        <w:t xml:space="preserve">, M. K. (2023). Biostatistics and epidemiology principles for the toxicologist: The "Testy" test characteristics part II: Positive predictive value and </w:t>
      </w:r>
      <w:r w:rsidRPr="00C34B64">
        <w:rPr>
          <w:rFonts w:ascii="Times New Roman" w:hAnsi="Times New Roman" w:cs="Times New Roman"/>
          <w:color w:val="1B1B1B"/>
          <w:sz w:val="24"/>
          <w:szCs w:val="24"/>
          <w:shd w:val="clear" w:color="auto" w:fill="FFFFFF"/>
        </w:rPr>
        <w:lastRenderedPageBreak/>
        <w:t>negative predictive value. </w:t>
      </w:r>
      <w:r w:rsidRPr="00C34B64">
        <w:rPr>
          <w:rFonts w:ascii="Times New Roman" w:hAnsi="Times New Roman" w:cs="Times New Roman"/>
          <w:i/>
          <w:iCs/>
          <w:color w:val="1B1B1B"/>
          <w:sz w:val="24"/>
          <w:szCs w:val="24"/>
          <w:shd w:val="clear" w:color="auto" w:fill="FFFFFF"/>
        </w:rPr>
        <w:t>Journal of Medical Toxicology: Official Journal of the American College of Medical Toxicology</w:t>
      </w:r>
      <w:r w:rsidRPr="00C34B64">
        <w:rPr>
          <w:rFonts w:ascii="Times New Roman" w:hAnsi="Times New Roman" w:cs="Times New Roman"/>
          <w:color w:val="1B1B1B"/>
          <w:sz w:val="24"/>
          <w:szCs w:val="24"/>
          <w:shd w:val="clear" w:color="auto" w:fill="FFFFFF"/>
        </w:rPr>
        <w:t>, </w:t>
      </w:r>
      <w:r w:rsidRPr="00C34B64">
        <w:rPr>
          <w:rFonts w:ascii="Times New Roman" w:hAnsi="Times New Roman" w:cs="Times New Roman"/>
          <w:i/>
          <w:iCs/>
          <w:color w:val="1B1B1B"/>
          <w:sz w:val="24"/>
          <w:szCs w:val="24"/>
          <w:shd w:val="clear" w:color="auto" w:fill="FFFFFF"/>
        </w:rPr>
        <w:t>19</w:t>
      </w:r>
      <w:r w:rsidRPr="00C34B64">
        <w:rPr>
          <w:rFonts w:ascii="Times New Roman" w:hAnsi="Times New Roman" w:cs="Times New Roman"/>
          <w:color w:val="1B1B1B"/>
          <w:sz w:val="24"/>
          <w:szCs w:val="24"/>
          <w:shd w:val="clear" w:color="auto" w:fill="FFFFFF"/>
        </w:rPr>
        <w:t xml:space="preserve">(3), 298–302. </w:t>
      </w:r>
      <w:hyperlink r:id="rId9" w:history="1">
        <w:r w:rsidRPr="00C34B64">
          <w:rPr>
            <w:rStyle w:val="Hyperlink"/>
            <w:rFonts w:ascii="Times New Roman" w:hAnsi="Times New Roman" w:cs="Times New Roman"/>
            <w:sz w:val="24"/>
            <w:szCs w:val="24"/>
            <w:shd w:val="clear" w:color="auto" w:fill="FFFFFF"/>
          </w:rPr>
          <w:t>https://doi.org/10.1007/s13181-023-00953-3</w:t>
        </w:r>
      </w:hyperlink>
      <w:r w:rsidRPr="00C34B64">
        <w:rPr>
          <w:rFonts w:ascii="Times New Roman" w:hAnsi="Times New Roman" w:cs="Times New Roman"/>
          <w:color w:val="1B1B1B"/>
          <w:sz w:val="24"/>
          <w:szCs w:val="24"/>
          <w:shd w:val="clear" w:color="auto" w:fill="FFFFFF"/>
        </w:rPr>
        <w:t xml:space="preserve"> </w:t>
      </w:r>
    </w:p>
    <w:sectPr w:rsidR="00584F8D" w:rsidRPr="008C7956" w:rsidSect="008C6AA7">
      <w:type w:val="continuous"/>
      <w:pgSz w:w="12240" w:h="15840" w:orient="landscape"/>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2F0"/>
    <w:rsid w:val="000E62F0"/>
    <w:rsid w:val="001F6B3E"/>
    <w:rsid w:val="00271A3A"/>
    <w:rsid w:val="002C18AD"/>
    <w:rsid w:val="002F175F"/>
    <w:rsid w:val="003A1ECA"/>
    <w:rsid w:val="003C1F28"/>
    <w:rsid w:val="00423A4F"/>
    <w:rsid w:val="00584F8D"/>
    <w:rsid w:val="00664918"/>
    <w:rsid w:val="008C6AA7"/>
    <w:rsid w:val="008C7956"/>
    <w:rsid w:val="00931576"/>
    <w:rsid w:val="00B24E3C"/>
    <w:rsid w:val="00C37EA8"/>
    <w:rsid w:val="00E15D2A"/>
    <w:rsid w:val="00F34F02"/>
    <w:rsid w:val="00F52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ADE24"/>
  <w15:chartTrackingRefBased/>
  <w15:docId w15:val="{6654C56A-872D-47E2-B50A-03CA31A7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6B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tbj.12003" TargetMode="External"/><Relationship Id="rId3" Type="http://schemas.openxmlformats.org/officeDocument/2006/relationships/webSettings" Target="webSettings.xml"/><Relationship Id="rId7" Type="http://schemas.openxmlformats.org/officeDocument/2006/relationships/hyperlink" Target="https://doi.org/10.3390/ijerph1807354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11/tbj.12003" TargetMode="External"/><Relationship Id="rId11" Type="http://schemas.openxmlformats.org/officeDocument/2006/relationships/theme" Target="theme/theme1.xml"/><Relationship Id="rId5" Type="http://schemas.openxmlformats.org/officeDocument/2006/relationships/hyperlink" Target="https://doi.org/10.1136/gpsych-2020-100453" TargetMode="External"/><Relationship Id="rId10" Type="http://schemas.openxmlformats.org/officeDocument/2006/relationships/fontTable" Target="fontTable.xml"/><Relationship Id="rId4" Type="http://schemas.openxmlformats.org/officeDocument/2006/relationships/hyperlink" Target="https://doi.org/10.3390/ijerph18073549" TargetMode="External"/><Relationship Id="rId9" Type="http://schemas.openxmlformats.org/officeDocument/2006/relationships/hyperlink" Target="https://doi.org/10.1007/s13181-023-0095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1017</TotalTime>
  <Pages>3</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2025-01-24T05:06:00Z</dcterms:created>
  <dcterms:modified xsi:type="dcterms:W3CDTF">2025-01-24T22:06:00Z</dcterms:modified>
</cp:coreProperties>
</file>